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E107" w14:textId="06B57B10" w:rsidR="009F6514" w:rsidRPr="006F65E2" w:rsidRDefault="009F6514" w:rsidP="009F6514">
      <w:pPr>
        <w:autoSpaceDE w:val="0"/>
        <w:autoSpaceDN w:val="0"/>
        <w:adjustRightInd w:val="0"/>
        <w:rPr>
          <w:rFonts w:ascii="Calibri" w:hAnsi="Calibri" w:cs="Calibri"/>
          <w:kern w:val="0"/>
        </w:rPr>
      </w:pPr>
      <w:r w:rsidRPr="006F65E2">
        <w:rPr>
          <w:rFonts w:ascii="Calibri" w:hAnsi="Calibri" w:cs="Calibri"/>
          <w:kern w:val="0"/>
        </w:rPr>
        <w:t>In this biographical sketch</w:t>
      </w:r>
      <w:r w:rsidR="00D97625">
        <w:rPr>
          <w:rFonts w:ascii="Calibri" w:hAnsi="Calibri" w:cs="Calibri"/>
          <w:kern w:val="0"/>
        </w:rPr>
        <w:t xml:space="preserve"> </w:t>
      </w:r>
      <w:r w:rsidR="00D97625" w:rsidRPr="00B06C9E">
        <w:rPr>
          <w:rFonts w:ascii="Calibri" w:hAnsi="Calibri" w:cs="Calibri"/>
          <w:kern w:val="0"/>
        </w:rPr>
        <w:t>and personal statement</w:t>
      </w:r>
      <w:r w:rsidRPr="006F65E2">
        <w:rPr>
          <w:rFonts w:ascii="Calibri" w:hAnsi="Calibri" w:cs="Calibri"/>
          <w:kern w:val="0"/>
        </w:rPr>
        <w:t xml:space="preserve">, I highlight three important </w:t>
      </w:r>
      <w:r w:rsidR="00D97625" w:rsidRPr="00B06C9E">
        <w:rPr>
          <w:rFonts w:ascii="Calibri" w:hAnsi="Calibri" w:cs="Calibri"/>
          <w:kern w:val="0"/>
        </w:rPr>
        <w:t>paths</w:t>
      </w:r>
      <w:r w:rsidR="00B06C9E" w:rsidRPr="00B06C9E">
        <w:rPr>
          <w:rFonts w:ascii="Calibri" w:hAnsi="Calibri" w:cs="Calibri"/>
          <w:kern w:val="0"/>
        </w:rPr>
        <w:t xml:space="preserve"> </w:t>
      </w:r>
      <w:r w:rsidRPr="00B06C9E">
        <w:rPr>
          <w:rFonts w:ascii="Calibri" w:hAnsi="Calibri" w:cs="Calibri"/>
          <w:kern w:val="0"/>
        </w:rPr>
        <w:t>I</w:t>
      </w:r>
      <w:r w:rsidRPr="006F65E2">
        <w:rPr>
          <w:rFonts w:ascii="Calibri" w:hAnsi="Calibri" w:cs="Calibri"/>
          <w:kern w:val="0"/>
        </w:rPr>
        <w:t xml:space="preserve"> have taken over my 40+ </w:t>
      </w:r>
      <w:r w:rsidR="004175BA" w:rsidRPr="006F65E2">
        <w:rPr>
          <w:rFonts w:ascii="Calibri" w:hAnsi="Calibri" w:cs="Calibri"/>
          <w:kern w:val="0"/>
        </w:rPr>
        <w:t xml:space="preserve">year </w:t>
      </w:r>
      <w:r w:rsidRPr="006F65E2">
        <w:rPr>
          <w:rFonts w:ascii="Calibri" w:hAnsi="Calibri" w:cs="Calibri"/>
          <w:kern w:val="0"/>
        </w:rPr>
        <w:t xml:space="preserve">career in the College of Education </w:t>
      </w:r>
      <w:r w:rsidR="004175BA" w:rsidRPr="006F65E2">
        <w:rPr>
          <w:rFonts w:ascii="Calibri" w:hAnsi="Calibri" w:cs="Calibri"/>
          <w:kern w:val="0"/>
        </w:rPr>
        <w:t xml:space="preserve">(COE) </w:t>
      </w:r>
      <w:r w:rsidRPr="006F65E2">
        <w:rPr>
          <w:rFonts w:ascii="Calibri" w:hAnsi="Calibri" w:cs="Calibri"/>
          <w:kern w:val="0"/>
        </w:rPr>
        <w:t>at the University of Oregon</w:t>
      </w:r>
      <w:r w:rsidR="004175BA" w:rsidRPr="006F65E2">
        <w:rPr>
          <w:rFonts w:ascii="Calibri" w:hAnsi="Calibri" w:cs="Calibri"/>
          <w:kern w:val="0"/>
        </w:rPr>
        <w:t xml:space="preserve"> (UO)</w:t>
      </w:r>
      <w:r w:rsidRPr="006F65E2">
        <w:rPr>
          <w:rFonts w:ascii="Calibri" w:hAnsi="Calibri" w:cs="Calibri"/>
          <w:kern w:val="0"/>
        </w:rPr>
        <w:t xml:space="preserve">. The first </w:t>
      </w:r>
      <w:r w:rsidR="00D97625" w:rsidRPr="00B06C9E">
        <w:rPr>
          <w:rFonts w:ascii="Calibri" w:hAnsi="Calibri" w:cs="Calibri"/>
          <w:kern w:val="0"/>
        </w:rPr>
        <w:t>focuses on</w:t>
      </w:r>
      <w:r w:rsidR="00D97625">
        <w:rPr>
          <w:rFonts w:ascii="Calibri" w:hAnsi="Calibri" w:cs="Calibri"/>
          <w:kern w:val="0"/>
        </w:rPr>
        <w:t xml:space="preserve"> </w:t>
      </w:r>
      <w:r w:rsidRPr="006F65E2">
        <w:rPr>
          <w:rFonts w:ascii="Calibri" w:hAnsi="Calibri" w:cs="Calibri"/>
          <w:kern w:val="0"/>
        </w:rPr>
        <w:t xml:space="preserve">the development of sensitive measures of learning </w:t>
      </w:r>
      <w:r w:rsidR="00054EF5">
        <w:rPr>
          <w:rFonts w:ascii="Calibri" w:hAnsi="Calibri" w:cs="Calibri"/>
          <w:kern w:val="0"/>
        </w:rPr>
        <w:t xml:space="preserve">that </w:t>
      </w:r>
      <w:r w:rsidR="00D97625" w:rsidRPr="00B06C9E">
        <w:rPr>
          <w:rFonts w:ascii="Calibri" w:hAnsi="Calibri" w:cs="Calibri"/>
          <w:kern w:val="0"/>
        </w:rPr>
        <w:t>contribute to</w:t>
      </w:r>
      <w:r w:rsidR="00D97625">
        <w:rPr>
          <w:rFonts w:ascii="Calibri" w:hAnsi="Calibri" w:cs="Calibri"/>
          <w:kern w:val="0"/>
        </w:rPr>
        <w:t xml:space="preserve"> </w:t>
      </w:r>
      <w:r w:rsidRPr="006F65E2">
        <w:rPr>
          <w:rFonts w:ascii="Calibri" w:hAnsi="Calibri" w:cs="Calibri"/>
          <w:kern w:val="0"/>
        </w:rPr>
        <w:t xml:space="preserve">the science of education. </w:t>
      </w:r>
      <w:r w:rsidR="004175BA" w:rsidRPr="006F65E2">
        <w:rPr>
          <w:rFonts w:ascii="Calibri" w:hAnsi="Calibri" w:cs="Calibri"/>
          <w:kern w:val="0"/>
        </w:rPr>
        <w:t>A</w:t>
      </w:r>
      <w:r w:rsidRPr="006F65E2">
        <w:rPr>
          <w:rFonts w:ascii="Calibri" w:hAnsi="Calibri" w:cs="Calibri"/>
          <w:kern w:val="0"/>
        </w:rPr>
        <w:t>ppropriate measurement alone</w:t>
      </w:r>
      <w:r w:rsidR="000479D5">
        <w:rPr>
          <w:rFonts w:ascii="Calibri" w:hAnsi="Calibri" w:cs="Calibri"/>
          <w:kern w:val="0"/>
        </w:rPr>
        <w:t>,</w:t>
      </w:r>
      <w:r w:rsidRPr="006F65E2">
        <w:rPr>
          <w:rFonts w:ascii="Calibri" w:hAnsi="Calibri" w:cs="Calibri"/>
          <w:kern w:val="0"/>
        </w:rPr>
        <w:t xml:space="preserve"> </w:t>
      </w:r>
      <w:r w:rsidR="004175BA" w:rsidRPr="006F65E2">
        <w:rPr>
          <w:rFonts w:ascii="Calibri" w:hAnsi="Calibri" w:cs="Calibri"/>
          <w:kern w:val="0"/>
        </w:rPr>
        <w:t>however</w:t>
      </w:r>
      <w:r w:rsidR="000479D5">
        <w:rPr>
          <w:rFonts w:ascii="Calibri" w:hAnsi="Calibri" w:cs="Calibri"/>
          <w:kern w:val="0"/>
        </w:rPr>
        <w:t>,</w:t>
      </w:r>
      <w:r w:rsidR="004175BA" w:rsidRPr="006F65E2">
        <w:rPr>
          <w:rFonts w:ascii="Calibri" w:hAnsi="Calibri" w:cs="Calibri"/>
          <w:kern w:val="0"/>
        </w:rPr>
        <w:t xml:space="preserve"> </w:t>
      </w:r>
      <w:r w:rsidRPr="006F65E2">
        <w:rPr>
          <w:rFonts w:ascii="Calibri" w:hAnsi="Calibri" w:cs="Calibri"/>
          <w:kern w:val="0"/>
        </w:rPr>
        <w:t>can only set the stage for learning</w:t>
      </w:r>
      <w:r w:rsidR="004175BA" w:rsidRPr="006F65E2">
        <w:rPr>
          <w:rFonts w:ascii="Calibri" w:hAnsi="Calibri" w:cs="Calibri"/>
          <w:kern w:val="0"/>
        </w:rPr>
        <w:t>.</w:t>
      </w:r>
      <w:r w:rsidRPr="006F65E2">
        <w:rPr>
          <w:rFonts w:ascii="Calibri" w:hAnsi="Calibri" w:cs="Calibri"/>
          <w:kern w:val="0"/>
        </w:rPr>
        <w:t xml:space="preserve"> </w:t>
      </w:r>
      <w:r w:rsidR="004175BA" w:rsidRPr="006F65E2">
        <w:rPr>
          <w:rFonts w:ascii="Calibri" w:hAnsi="Calibri" w:cs="Calibri"/>
          <w:kern w:val="0"/>
        </w:rPr>
        <w:t>A</w:t>
      </w:r>
      <w:r w:rsidRPr="006F65E2">
        <w:rPr>
          <w:rFonts w:ascii="Calibri" w:hAnsi="Calibri" w:cs="Calibri"/>
          <w:kern w:val="0"/>
        </w:rPr>
        <w:t xml:space="preserve">t some </w:t>
      </w:r>
      <w:r w:rsidR="005B1BEB" w:rsidRPr="006F65E2">
        <w:rPr>
          <w:rFonts w:ascii="Calibri" w:hAnsi="Calibri" w:cs="Calibri"/>
          <w:kern w:val="0"/>
        </w:rPr>
        <w:t>point,</w:t>
      </w:r>
      <w:r w:rsidRPr="006F65E2">
        <w:rPr>
          <w:rFonts w:ascii="Calibri" w:hAnsi="Calibri" w:cs="Calibri"/>
          <w:kern w:val="0"/>
        </w:rPr>
        <w:t xml:space="preserve"> </w:t>
      </w:r>
      <w:r w:rsidR="005B1BEB" w:rsidRPr="006F65E2">
        <w:rPr>
          <w:rFonts w:ascii="Calibri" w:hAnsi="Calibri" w:cs="Calibri"/>
          <w:kern w:val="0"/>
        </w:rPr>
        <w:t xml:space="preserve">it </w:t>
      </w:r>
      <w:r w:rsidRPr="006F65E2">
        <w:rPr>
          <w:rFonts w:ascii="Calibri" w:hAnsi="Calibri" w:cs="Calibri"/>
          <w:kern w:val="0"/>
        </w:rPr>
        <w:t xml:space="preserve">needs to intersect with practice, which leads to my second </w:t>
      </w:r>
      <w:r w:rsidRPr="00B06C9E">
        <w:rPr>
          <w:rFonts w:ascii="Calibri" w:hAnsi="Calibri" w:cs="Calibri"/>
          <w:kern w:val="0"/>
        </w:rPr>
        <w:t>focus</w:t>
      </w:r>
      <w:r w:rsidRPr="006F65E2">
        <w:rPr>
          <w:rFonts w:ascii="Calibri" w:hAnsi="Calibri" w:cs="Calibri"/>
          <w:kern w:val="0"/>
        </w:rPr>
        <w:t xml:space="preserve">: Establishing a digital </w:t>
      </w:r>
      <w:r w:rsidR="00D97625" w:rsidRPr="00B06C9E">
        <w:rPr>
          <w:rFonts w:ascii="Calibri" w:hAnsi="Calibri" w:cs="Calibri"/>
          <w:kern w:val="0"/>
        </w:rPr>
        <w:t>assessment system</w:t>
      </w:r>
      <w:r w:rsidRPr="006F65E2">
        <w:rPr>
          <w:rFonts w:ascii="Calibri" w:hAnsi="Calibri" w:cs="Calibri"/>
          <w:kern w:val="0"/>
        </w:rPr>
        <w:t xml:space="preserve"> in which teachers have </w:t>
      </w:r>
      <w:r w:rsidR="005B5E68" w:rsidRPr="006F65E2">
        <w:rPr>
          <w:rFonts w:ascii="Calibri" w:hAnsi="Calibri" w:cs="Calibri"/>
          <w:kern w:val="0"/>
        </w:rPr>
        <w:t xml:space="preserve">at their ready a full complement </w:t>
      </w:r>
      <w:r w:rsidR="005B5E68" w:rsidRPr="00B06C9E">
        <w:rPr>
          <w:rFonts w:ascii="Calibri" w:hAnsi="Calibri" w:cs="Calibri"/>
          <w:kern w:val="0"/>
        </w:rPr>
        <w:t xml:space="preserve">of </w:t>
      </w:r>
      <w:r w:rsidR="00E7055B" w:rsidRPr="00B06C9E">
        <w:rPr>
          <w:rFonts w:ascii="Calibri" w:hAnsi="Calibri" w:cs="Calibri"/>
          <w:kern w:val="0"/>
        </w:rPr>
        <w:t>technically adequate</w:t>
      </w:r>
      <w:r w:rsidR="00E7055B">
        <w:rPr>
          <w:rFonts w:ascii="Calibri" w:hAnsi="Calibri" w:cs="Calibri"/>
          <w:kern w:val="0"/>
        </w:rPr>
        <w:t xml:space="preserve"> </w:t>
      </w:r>
      <w:r w:rsidR="005B5E68" w:rsidRPr="006F65E2">
        <w:rPr>
          <w:rFonts w:ascii="Calibri" w:hAnsi="Calibri" w:cs="Calibri"/>
          <w:kern w:val="0"/>
        </w:rPr>
        <w:t xml:space="preserve">assessment tools to document not only student performance but their progress as well. Finally, with educational practices firmly seated on an empirical basis for </w:t>
      </w:r>
      <w:r w:rsidR="00D97625" w:rsidRPr="00B06C9E">
        <w:rPr>
          <w:rFonts w:ascii="Calibri" w:hAnsi="Calibri" w:cs="Calibri"/>
          <w:kern w:val="0"/>
        </w:rPr>
        <w:t>behavioral</w:t>
      </w:r>
      <w:r w:rsidR="00D97625">
        <w:rPr>
          <w:rFonts w:ascii="Calibri" w:hAnsi="Calibri" w:cs="Calibri"/>
          <w:kern w:val="0"/>
        </w:rPr>
        <w:t xml:space="preserve"> </w:t>
      </w:r>
      <w:r w:rsidR="005B5E68" w:rsidRPr="006F65E2">
        <w:rPr>
          <w:rFonts w:ascii="Calibri" w:hAnsi="Calibri" w:cs="Calibri"/>
          <w:kern w:val="0"/>
        </w:rPr>
        <w:t>change and a full array of insightful information on student learning, this well-balanced system needs long term and sustained support, which leads to</w:t>
      </w:r>
      <w:r w:rsidR="00B06C9E">
        <w:rPr>
          <w:rFonts w:ascii="Calibri" w:hAnsi="Calibri" w:cs="Calibri"/>
          <w:kern w:val="0"/>
        </w:rPr>
        <w:t xml:space="preserve"> </w:t>
      </w:r>
      <w:r w:rsidR="009D33EF">
        <w:rPr>
          <w:rFonts w:ascii="Calibri" w:hAnsi="Calibri" w:cs="Calibri"/>
          <w:kern w:val="0"/>
        </w:rPr>
        <w:t>the</w:t>
      </w:r>
      <w:r w:rsidR="002D123D">
        <w:rPr>
          <w:rFonts w:ascii="Calibri" w:hAnsi="Calibri" w:cs="Calibri"/>
          <w:kern w:val="0"/>
        </w:rPr>
        <w:t xml:space="preserve"> </w:t>
      </w:r>
      <w:r w:rsidR="00B06C9E">
        <w:rPr>
          <w:rFonts w:ascii="Calibri" w:hAnsi="Calibri" w:cs="Calibri"/>
          <w:kern w:val="0"/>
        </w:rPr>
        <w:t xml:space="preserve">enterprise of innovation. </w:t>
      </w:r>
      <w:r w:rsidR="006C2ECC" w:rsidRPr="006F65E2">
        <w:rPr>
          <w:rFonts w:ascii="Calibri" w:hAnsi="Calibri" w:cs="Calibri"/>
          <w:kern w:val="0"/>
        </w:rPr>
        <w:t>This personal statement complements my 1-page vita summary.</w:t>
      </w:r>
    </w:p>
    <w:p w14:paraId="7CFE0689" w14:textId="77777777" w:rsidR="009F6514" w:rsidRPr="006F65E2" w:rsidRDefault="009F6514" w:rsidP="009F6514">
      <w:pPr>
        <w:autoSpaceDE w:val="0"/>
        <w:autoSpaceDN w:val="0"/>
        <w:adjustRightInd w:val="0"/>
        <w:rPr>
          <w:rFonts w:ascii="Calibri" w:hAnsi="Calibri" w:cs="Calibri"/>
          <w:kern w:val="0"/>
        </w:rPr>
      </w:pPr>
    </w:p>
    <w:p w14:paraId="5D416801" w14:textId="00F8F360" w:rsidR="005B1BEB" w:rsidRPr="006F65E2" w:rsidRDefault="009F6514" w:rsidP="009F6514">
      <w:pPr>
        <w:autoSpaceDE w:val="0"/>
        <w:autoSpaceDN w:val="0"/>
        <w:adjustRightInd w:val="0"/>
        <w:rPr>
          <w:rFonts w:ascii="Calibri" w:hAnsi="Calibri" w:cs="Calibri"/>
          <w:kern w:val="0"/>
        </w:rPr>
      </w:pPr>
      <w:r w:rsidRPr="006F65E2">
        <w:rPr>
          <w:rFonts w:ascii="Calibri" w:hAnsi="Calibri" w:cs="Calibri"/>
          <w:i/>
          <w:iCs/>
          <w:kern w:val="0"/>
        </w:rPr>
        <w:t xml:space="preserve">The </w:t>
      </w:r>
      <w:r w:rsidR="004175BA" w:rsidRPr="006F65E2">
        <w:rPr>
          <w:rFonts w:ascii="Calibri" w:hAnsi="Calibri" w:cs="Calibri"/>
          <w:i/>
          <w:iCs/>
          <w:kern w:val="0"/>
        </w:rPr>
        <w:t>S</w:t>
      </w:r>
      <w:r w:rsidRPr="006F65E2">
        <w:rPr>
          <w:rFonts w:ascii="Calibri" w:hAnsi="Calibri" w:cs="Calibri"/>
          <w:i/>
          <w:iCs/>
          <w:kern w:val="0"/>
        </w:rPr>
        <w:t xml:space="preserve">cience of </w:t>
      </w:r>
      <w:r w:rsidR="004175BA" w:rsidRPr="006F65E2">
        <w:rPr>
          <w:rFonts w:ascii="Calibri" w:hAnsi="Calibri" w:cs="Calibri"/>
          <w:i/>
          <w:iCs/>
          <w:kern w:val="0"/>
        </w:rPr>
        <w:t>E</w:t>
      </w:r>
      <w:r w:rsidRPr="006F65E2">
        <w:rPr>
          <w:rFonts w:ascii="Calibri" w:hAnsi="Calibri" w:cs="Calibri"/>
          <w:i/>
          <w:iCs/>
          <w:kern w:val="0"/>
        </w:rPr>
        <w:t>ducation</w:t>
      </w:r>
      <w:r w:rsidRPr="006F65E2">
        <w:rPr>
          <w:rFonts w:ascii="Calibri" w:hAnsi="Calibri" w:cs="Calibri"/>
          <w:kern w:val="0"/>
        </w:rPr>
        <w:t xml:space="preserve">. In brief, </w:t>
      </w:r>
      <w:r w:rsidR="00D97625" w:rsidRPr="00B06C9E">
        <w:rPr>
          <w:rFonts w:ascii="Calibri" w:hAnsi="Calibri" w:cs="Calibri"/>
          <w:kern w:val="0"/>
        </w:rPr>
        <w:t>causal research designs</w:t>
      </w:r>
      <w:r w:rsidR="00D97625">
        <w:rPr>
          <w:rFonts w:ascii="Calibri" w:hAnsi="Calibri" w:cs="Calibri"/>
          <w:kern w:val="0"/>
        </w:rPr>
        <w:t xml:space="preserve"> </w:t>
      </w:r>
      <w:r w:rsidR="004175BA" w:rsidRPr="006F65E2">
        <w:rPr>
          <w:rFonts w:ascii="Calibri" w:hAnsi="Calibri" w:cs="Calibri"/>
          <w:kern w:val="0"/>
        </w:rPr>
        <w:t>and validated correlational associations are</w:t>
      </w:r>
      <w:r w:rsidRPr="006F65E2">
        <w:rPr>
          <w:rFonts w:ascii="Calibri" w:hAnsi="Calibri" w:cs="Calibri"/>
          <w:kern w:val="0"/>
        </w:rPr>
        <w:t xml:space="preserve"> the sine non qua for creating durable results that can be trusted and eventually </w:t>
      </w:r>
      <w:r w:rsidR="00F07EF5" w:rsidRPr="00B06C9E">
        <w:rPr>
          <w:rFonts w:ascii="Calibri" w:hAnsi="Calibri" w:cs="Calibri"/>
          <w:kern w:val="0"/>
        </w:rPr>
        <w:t>serve as falsifiable</w:t>
      </w:r>
      <w:r w:rsidRPr="006F65E2">
        <w:rPr>
          <w:rFonts w:ascii="Calibri" w:hAnsi="Calibri" w:cs="Calibri"/>
          <w:kern w:val="0"/>
        </w:rPr>
        <w:t xml:space="preserve"> </w:t>
      </w:r>
      <w:r w:rsidR="000479D5">
        <w:rPr>
          <w:rFonts w:ascii="Calibri" w:hAnsi="Calibri" w:cs="Calibri"/>
          <w:kern w:val="0"/>
        </w:rPr>
        <w:t>‘</w:t>
      </w:r>
      <w:r w:rsidRPr="006F65E2">
        <w:rPr>
          <w:rFonts w:ascii="Calibri" w:hAnsi="Calibri" w:cs="Calibri"/>
          <w:kern w:val="0"/>
        </w:rPr>
        <w:t>truths</w:t>
      </w:r>
      <w:r w:rsidR="000479D5">
        <w:rPr>
          <w:rFonts w:ascii="Calibri" w:hAnsi="Calibri" w:cs="Calibri"/>
          <w:kern w:val="0"/>
        </w:rPr>
        <w:t>’</w:t>
      </w:r>
      <w:r w:rsidR="007F683D" w:rsidRPr="006F65E2">
        <w:rPr>
          <w:rFonts w:ascii="Calibri" w:hAnsi="Calibri" w:cs="Calibri"/>
          <w:kern w:val="0"/>
        </w:rPr>
        <w:t>,</w:t>
      </w:r>
      <w:r w:rsidRPr="006F65E2">
        <w:rPr>
          <w:rFonts w:ascii="Calibri" w:hAnsi="Calibri" w:cs="Calibri"/>
          <w:kern w:val="0"/>
        </w:rPr>
        <w:t xml:space="preserve"> through multiple paths of research design and statistical</w:t>
      </w:r>
      <w:r w:rsidR="007F683D" w:rsidRPr="006F65E2">
        <w:rPr>
          <w:rFonts w:ascii="Calibri" w:hAnsi="Calibri" w:cs="Calibri"/>
          <w:kern w:val="0"/>
        </w:rPr>
        <w:t xml:space="preserve"> </w:t>
      </w:r>
      <w:r w:rsidRPr="006F65E2">
        <w:rPr>
          <w:rFonts w:ascii="Calibri" w:hAnsi="Calibri" w:cs="Calibri"/>
          <w:kern w:val="0"/>
        </w:rPr>
        <w:t>analy</w:t>
      </w:r>
      <w:r w:rsidR="007F683D" w:rsidRPr="006F65E2">
        <w:rPr>
          <w:rFonts w:ascii="Calibri" w:hAnsi="Calibri" w:cs="Calibri"/>
          <w:kern w:val="0"/>
        </w:rPr>
        <w:t xml:space="preserve">ses </w:t>
      </w:r>
      <w:r w:rsidRPr="006F65E2">
        <w:rPr>
          <w:rFonts w:ascii="Calibri" w:hAnsi="Calibri" w:cs="Calibri"/>
          <w:kern w:val="0"/>
        </w:rPr>
        <w:t>on measured outcomes.</w:t>
      </w:r>
      <w:r w:rsidR="004175BA" w:rsidRPr="006F65E2">
        <w:rPr>
          <w:rFonts w:ascii="Calibri" w:hAnsi="Calibri" w:cs="Calibri"/>
          <w:kern w:val="0"/>
        </w:rPr>
        <w:t xml:space="preserve"> </w:t>
      </w:r>
      <w:r w:rsidR="005B5E68" w:rsidRPr="006F65E2">
        <w:rPr>
          <w:rFonts w:ascii="Calibri" w:hAnsi="Calibri" w:cs="Calibri"/>
          <w:kern w:val="0"/>
        </w:rPr>
        <w:t>For o</w:t>
      </w:r>
      <w:r w:rsidRPr="006F65E2">
        <w:rPr>
          <w:rFonts w:ascii="Calibri" w:hAnsi="Calibri" w:cs="Calibri"/>
          <w:kern w:val="0"/>
        </w:rPr>
        <w:t xml:space="preserve">ver 50 years, my scientific record has been expressed through </w:t>
      </w:r>
      <w:r w:rsidR="000479D5">
        <w:rPr>
          <w:rFonts w:ascii="Calibri" w:hAnsi="Calibri" w:cs="Calibri"/>
          <w:kern w:val="0"/>
        </w:rPr>
        <w:t xml:space="preserve">over 100 </w:t>
      </w:r>
      <w:r w:rsidRPr="006F65E2">
        <w:rPr>
          <w:rFonts w:ascii="Calibri" w:hAnsi="Calibri" w:cs="Calibri"/>
          <w:kern w:val="0"/>
        </w:rPr>
        <w:t>publications in peer-reviewed articles</w:t>
      </w:r>
      <w:r w:rsidR="000479D5">
        <w:rPr>
          <w:rFonts w:ascii="Calibri" w:hAnsi="Calibri" w:cs="Calibri"/>
          <w:kern w:val="0"/>
        </w:rPr>
        <w:t>,</w:t>
      </w:r>
      <w:r w:rsidRPr="006F65E2">
        <w:rPr>
          <w:rFonts w:ascii="Calibri" w:hAnsi="Calibri" w:cs="Calibri"/>
          <w:kern w:val="0"/>
        </w:rPr>
        <w:t xml:space="preserve"> complemented by hundreds of technical reports and </w:t>
      </w:r>
      <w:r w:rsidR="007F683D" w:rsidRPr="006F65E2">
        <w:rPr>
          <w:rFonts w:ascii="Calibri" w:hAnsi="Calibri" w:cs="Calibri"/>
          <w:kern w:val="0"/>
        </w:rPr>
        <w:t xml:space="preserve">national conference papers, as well as </w:t>
      </w:r>
      <w:r w:rsidR="00D97625" w:rsidRPr="00B06C9E">
        <w:rPr>
          <w:rFonts w:ascii="Calibri" w:hAnsi="Calibri" w:cs="Calibri"/>
          <w:kern w:val="0"/>
        </w:rPr>
        <w:t>a handful of books</w:t>
      </w:r>
      <w:r w:rsidR="00D97625">
        <w:rPr>
          <w:rFonts w:ascii="Calibri" w:hAnsi="Calibri" w:cs="Calibri"/>
          <w:kern w:val="0"/>
        </w:rPr>
        <w:t xml:space="preserve"> and </w:t>
      </w:r>
      <w:r w:rsidR="000479D5">
        <w:rPr>
          <w:rFonts w:ascii="Calibri" w:hAnsi="Calibri" w:cs="Calibri"/>
          <w:kern w:val="0"/>
        </w:rPr>
        <w:t xml:space="preserve">scores of </w:t>
      </w:r>
      <w:r w:rsidRPr="006F65E2">
        <w:rPr>
          <w:rFonts w:ascii="Calibri" w:hAnsi="Calibri" w:cs="Calibri"/>
          <w:kern w:val="0"/>
        </w:rPr>
        <w:t xml:space="preserve">book chapters. </w:t>
      </w:r>
      <w:r w:rsidR="005B5E68" w:rsidRPr="006F65E2">
        <w:rPr>
          <w:rFonts w:ascii="Calibri" w:hAnsi="Calibri" w:cs="Calibri"/>
          <w:kern w:val="0"/>
        </w:rPr>
        <w:t xml:space="preserve">My research has primarily addressed </w:t>
      </w:r>
      <w:r w:rsidR="007F683D" w:rsidRPr="006F65E2">
        <w:rPr>
          <w:rFonts w:ascii="Calibri" w:hAnsi="Calibri" w:cs="Calibri"/>
          <w:kern w:val="0"/>
        </w:rPr>
        <w:t xml:space="preserve">the learning of </w:t>
      </w:r>
      <w:r w:rsidR="005B5E68" w:rsidRPr="006F65E2">
        <w:rPr>
          <w:rFonts w:ascii="Calibri" w:hAnsi="Calibri" w:cs="Calibri"/>
          <w:kern w:val="0"/>
        </w:rPr>
        <w:t xml:space="preserve">students on the fringe: </w:t>
      </w:r>
      <w:r w:rsidR="006F65E2" w:rsidRPr="006F65E2">
        <w:rPr>
          <w:rFonts w:ascii="Calibri" w:hAnsi="Calibri" w:cs="Calibri"/>
          <w:kern w:val="0"/>
        </w:rPr>
        <w:t xml:space="preserve">students with </w:t>
      </w:r>
      <w:r w:rsidR="00D97625">
        <w:rPr>
          <w:rFonts w:ascii="Calibri" w:hAnsi="Calibri" w:cs="Calibri"/>
          <w:kern w:val="0"/>
        </w:rPr>
        <w:t xml:space="preserve"> </w:t>
      </w:r>
      <w:r w:rsidR="006F65E2" w:rsidRPr="006F65E2">
        <w:rPr>
          <w:rFonts w:ascii="Calibri" w:hAnsi="Calibri" w:cs="Calibri"/>
          <w:kern w:val="0"/>
        </w:rPr>
        <w:t xml:space="preserve">disabilities, English language learners, and </w:t>
      </w:r>
      <w:r w:rsidR="005B5E68" w:rsidRPr="006F65E2">
        <w:rPr>
          <w:rFonts w:ascii="Calibri" w:hAnsi="Calibri" w:cs="Calibri"/>
          <w:kern w:val="0"/>
        </w:rPr>
        <w:t xml:space="preserve">low achievers. For these populations, sensitive measures of learning need to be validated so teachers can </w:t>
      </w:r>
      <w:r w:rsidR="000479D5">
        <w:rPr>
          <w:rFonts w:ascii="Calibri" w:hAnsi="Calibri" w:cs="Calibri"/>
          <w:kern w:val="0"/>
        </w:rPr>
        <w:t xml:space="preserve">trust them in </w:t>
      </w:r>
      <w:r w:rsidR="00B33B88" w:rsidRPr="006F65E2">
        <w:rPr>
          <w:rFonts w:ascii="Calibri" w:hAnsi="Calibri" w:cs="Calibri"/>
          <w:kern w:val="0"/>
        </w:rPr>
        <w:t>respond</w:t>
      </w:r>
      <w:r w:rsidR="000479D5">
        <w:rPr>
          <w:rFonts w:ascii="Calibri" w:hAnsi="Calibri" w:cs="Calibri"/>
          <w:kern w:val="0"/>
        </w:rPr>
        <w:t>ing</w:t>
      </w:r>
      <w:r w:rsidR="005B5E68" w:rsidRPr="006F65E2">
        <w:rPr>
          <w:rFonts w:ascii="Calibri" w:hAnsi="Calibri" w:cs="Calibri"/>
          <w:kern w:val="0"/>
        </w:rPr>
        <w:t xml:space="preserve"> to </w:t>
      </w:r>
      <w:r w:rsidR="00D97625">
        <w:rPr>
          <w:rFonts w:ascii="Calibri" w:hAnsi="Calibri" w:cs="Calibri"/>
          <w:kern w:val="0"/>
        </w:rPr>
        <w:t xml:space="preserve">their </w:t>
      </w:r>
      <w:r w:rsidR="00D97625" w:rsidRPr="00B06C9E">
        <w:rPr>
          <w:rFonts w:ascii="Calibri" w:hAnsi="Calibri" w:cs="Calibri"/>
          <w:kern w:val="0"/>
        </w:rPr>
        <w:t>students’</w:t>
      </w:r>
      <w:r w:rsidR="00D97625" w:rsidRPr="00D97625">
        <w:rPr>
          <w:rFonts w:ascii="Calibri" w:hAnsi="Calibri" w:cs="Calibri"/>
          <w:kern w:val="0"/>
        </w:rPr>
        <w:t xml:space="preserve"> </w:t>
      </w:r>
      <w:r w:rsidR="005B5E68" w:rsidRPr="006F65E2">
        <w:rPr>
          <w:rFonts w:ascii="Calibri" w:hAnsi="Calibri" w:cs="Calibri"/>
          <w:kern w:val="0"/>
        </w:rPr>
        <w:t>needs</w:t>
      </w:r>
      <w:r w:rsidR="00E7055B">
        <w:rPr>
          <w:rFonts w:ascii="Calibri" w:hAnsi="Calibri" w:cs="Calibri"/>
          <w:kern w:val="0"/>
        </w:rPr>
        <w:t xml:space="preserve"> </w:t>
      </w:r>
      <w:r w:rsidR="00E7055B" w:rsidRPr="00B06C9E">
        <w:rPr>
          <w:rFonts w:ascii="Calibri" w:hAnsi="Calibri" w:cs="Calibri"/>
          <w:kern w:val="0"/>
        </w:rPr>
        <w:t>reliably and prescriptively</w:t>
      </w:r>
      <w:r w:rsidR="005B5E68" w:rsidRPr="006F65E2">
        <w:rPr>
          <w:rFonts w:ascii="Calibri" w:hAnsi="Calibri" w:cs="Calibri"/>
          <w:kern w:val="0"/>
        </w:rPr>
        <w:t xml:space="preserve">. </w:t>
      </w:r>
    </w:p>
    <w:p w14:paraId="77B69BA3" w14:textId="77777777" w:rsidR="005B1BEB" w:rsidRPr="006F65E2" w:rsidRDefault="005B1BEB" w:rsidP="009F6514">
      <w:pPr>
        <w:autoSpaceDE w:val="0"/>
        <w:autoSpaceDN w:val="0"/>
        <w:adjustRightInd w:val="0"/>
        <w:rPr>
          <w:rFonts w:ascii="Calibri" w:hAnsi="Calibri" w:cs="Calibri"/>
          <w:kern w:val="0"/>
        </w:rPr>
      </w:pPr>
    </w:p>
    <w:p w14:paraId="4F51ECC5" w14:textId="62AAE30B" w:rsidR="009F6514" w:rsidRPr="006F65E2" w:rsidRDefault="005B5E68" w:rsidP="009F6514">
      <w:pPr>
        <w:autoSpaceDE w:val="0"/>
        <w:autoSpaceDN w:val="0"/>
        <w:adjustRightInd w:val="0"/>
        <w:rPr>
          <w:rFonts w:ascii="Calibri" w:hAnsi="Calibri" w:cs="Calibri"/>
          <w:kern w:val="0"/>
        </w:rPr>
      </w:pPr>
      <w:r w:rsidRPr="006F65E2">
        <w:rPr>
          <w:rFonts w:ascii="Calibri" w:hAnsi="Calibri" w:cs="Calibri"/>
          <w:kern w:val="0"/>
        </w:rPr>
        <w:t>Establishing the right measures for the right purposes is critical to even begin practical applications in the classroom.</w:t>
      </w:r>
      <w:r w:rsidR="002F43FB" w:rsidRPr="006F65E2">
        <w:rPr>
          <w:rFonts w:ascii="Calibri" w:hAnsi="Calibri" w:cs="Calibri"/>
          <w:kern w:val="0"/>
        </w:rPr>
        <w:t xml:space="preserve"> I have </w:t>
      </w:r>
      <w:r w:rsidR="006F65E2" w:rsidRPr="006F65E2">
        <w:rPr>
          <w:rFonts w:ascii="Calibri" w:hAnsi="Calibri" w:cs="Calibri"/>
          <w:kern w:val="0"/>
        </w:rPr>
        <w:t>distributed</w:t>
      </w:r>
      <w:r w:rsidR="002F43FB" w:rsidRPr="006F65E2">
        <w:rPr>
          <w:rFonts w:ascii="Calibri" w:hAnsi="Calibri" w:cs="Calibri"/>
          <w:kern w:val="0"/>
        </w:rPr>
        <w:t xml:space="preserve"> my research in three arenas</w:t>
      </w:r>
      <w:r w:rsidR="00F07EF5">
        <w:rPr>
          <w:rFonts w:ascii="Calibri" w:hAnsi="Calibri" w:cs="Calibri"/>
          <w:kern w:val="0"/>
        </w:rPr>
        <w:t xml:space="preserve"> </w:t>
      </w:r>
      <w:r w:rsidR="00F07EF5" w:rsidRPr="00B06C9E">
        <w:rPr>
          <w:rFonts w:ascii="Calibri" w:hAnsi="Calibri" w:cs="Calibri"/>
          <w:kern w:val="0"/>
        </w:rPr>
        <w:t>with</w:t>
      </w:r>
      <w:r w:rsidR="002F43FB" w:rsidRPr="006F65E2">
        <w:rPr>
          <w:rFonts w:ascii="Calibri" w:hAnsi="Calibri" w:cs="Calibri"/>
          <w:kern w:val="0"/>
        </w:rPr>
        <w:t xml:space="preserve"> </w:t>
      </w:r>
      <w:r w:rsidR="00F07EF5">
        <w:rPr>
          <w:rFonts w:ascii="Calibri" w:hAnsi="Calibri" w:cs="Calibri"/>
          <w:i/>
          <w:iCs/>
          <w:kern w:val="0"/>
        </w:rPr>
        <w:t>p</w:t>
      </w:r>
      <w:r w:rsidR="002F43FB" w:rsidRPr="006F65E2">
        <w:rPr>
          <w:rFonts w:ascii="Calibri" w:hAnsi="Calibri" w:cs="Calibri"/>
          <w:i/>
          <w:iCs/>
          <w:kern w:val="0"/>
        </w:rPr>
        <w:t>ublished, peer-reviewed journals</w:t>
      </w:r>
      <w:r w:rsidR="002F43FB" w:rsidRPr="006F65E2">
        <w:rPr>
          <w:rFonts w:ascii="Calibri" w:hAnsi="Calibri" w:cs="Calibri"/>
          <w:kern w:val="0"/>
        </w:rPr>
        <w:t xml:space="preserve"> </w:t>
      </w:r>
      <w:r w:rsidR="00F07EF5" w:rsidRPr="00B06C9E">
        <w:rPr>
          <w:rFonts w:ascii="Calibri" w:hAnsi="Calibri" w:cs="Calibri"/>
          <w:kern w:val="0"/>
        </w:rPr>
        <w:t>as</w:t>
      </w:r>
      <w:r w:rsidR="00F07EF5">
        <w:rPr>
          <w:rFonts w:ascii="Calibri" w:hAnsi="Calibri" w:cs="Calibri"/>
          <w:kern w:val="0"/>
        </w:rPr>
        <w:t xml:space="preserve"> </w:t>
      </w:r>
      <w:r w:rsidR="002F43FB" w:rsidRPr="006F65E2">
        <w:rPr>
          <w:rFonts w:ascii="Calibri" w:hAnsi="Calibri" w:cs="Calibri"/>
          <w:kern w:val="0"/>
        </w:rPr>
        <w:t>the coin of the realm</w:t>
      </w:r>
      <w:r w:rsidR="00B33B88" w:rsidRPr="006F65E2">
        <w:rPr>
          <w:rFonts w:ascii="Calibri" w:hAnsi="Calibri" w:cs="Calibri"/>
          <w:kern w:val="0"/>
        </w:rPr>
        <w:t xml:space="preserve">. In </w:t>
      </w:r>
      <w:r w:rsidR="002F43FB" w:rsidRPr="006F65E2">
        <w:rPr>
          <w:rFonts w:ascii="Calibri" w:hAnsi="Calibri" w:cs="Calibri"/>
          <w:kern w:val="0"/>
        </w:rPr>
        <w:t>these publications, I have written about curriculum-based measure</w:t>
      </w:r>
      <w:r w:rsidR="006F65E2" w:rsidRPr="006F65E2">
        <w:rPr>
          <w:rFonts w:ascii="Calibri" w:hAnsi="Calibri" w:cs="Calibri"/>
          <w:kern w:val="0"/>
        </w:rPr>
        <w:t>ment</w:t>
      </w:r>
      <w:r w:rsidR="002F43FB" w:rsidRPr="006F65E2">
        <w:rPr>
          <w:rFonts w:ascii="Calibri" w:hAnsi="Calibri" w:cs="Calibri"/>
          <w:kern w:val="0"/>
        </w:rPr>
        <w:t xml:space="preserve"> (CBM), a</w:t>
      </w:r>
      <w:r w:rsidR="007F683D" w:rsidRPr="006F65E2">
        <w:rPr>
          <w:rFonts w:ascii="Calibri" w:hAnsi="Calibri" w:cs="Calibri"/>
          <w:kern w:val="0"/>
        </w:rPr>
        <w:t>n</w:t>
      </w:r>
      <w:r w:rsidR="002F43FB" w:rsidRPr="006F65E2">
        <w:rPr>
          <w:rFonts w:ascii="Calibri" w:hAnsi="Calibri" w:cs="Calibri"/>
          <w:kern w:val="0"/>
        </w:rPr>
        <w:t xml:space="preserve"> assessment </w:t>
      </w:r>
      <w:r w:rsidR="00D97625" w:rsidRPr="00B06C9E">
        <w:rPr>
          <w:rFonts w:ascii="Calibri" w:hAnsi="Calibri" w:cs="Calibri"/>
          <w:kern w:val="0"/>
        </w:rPr>
        <w:t>approach</w:t>
      </w:r>
      <w:r w:rsidR="00D97625">
        <w:rPr>
          <w:rFonts w:ascii="Calibri" w:hAnsi="Calibri" w:cs="Calibri"/>
          <w:kern w:val="0"/>
        </w:rPr>
        <w:t xml:space="preserve"> </w:t>
      </w:r>
      <w:r w:rsidR="002F43FB" w:rsidRPr="006F65E2">
        <w:rPr>
          <w:rFonts w:ascii="Calibri" w:hAnsi="Calibri" w:cs="Calibri"/>
          <w:kern w:val="0"/>
        </w:rPr>
        <w:t xml:space="preserve">begun in the 1980s </w:t>
      </w:r>
      <w:r w:rsidR="00DA671D" w:rsidRPr="006F65E2">
        <w:rPr>
          <w:rFonts w:ascii="Calibri" w:hAnsi="Calibri" w:cs="Calibri"/>
          <w:kern w:val="0"/>
        </w:rPr>
        <w:t xml:space="preserve">and </w:t>
      </w:r>
      <w:r w:rsidR="007F683D" w:rsidRPr="006F65E2">
        <w:rPr>
          <w:rFonts w:ascii="Calibri" w:hAnsi="Calibri" w:cs="Calibri"/>
          <w:kern w:val="0"/>
        </w:rPr>
        <w:t xml:space="preserve">extended </w:t>
      </w:r>
      <w:r w:rsidR="00DA671D" w:rsidRPr="006F65E2">
        <w:rPr>
          <w:rFonts w:ascii="Calibri" w:hAnsi="Calibri" w:cs="Calibri"/>
          <w:kern w:val="0"/>
        </w:rPr>
        <w:t xml:space="preserve">for the past </w:t>
      </w:r>
      <w:r w:rsidR="000479D5">
        <w:rPr>
          <w:rFonts w:ascii="Calibri" w:hAnsi="Calibri" w:cs="Calibri"/>
          <w:kern w:val="0"/>
        </w:rPr>
        <w:t>4</w:t>
      </w:r>
      <w:r w:rsidR="004175BA" w:rsidRPr="006F65E2">
        <w:rPr>
          <w:rFonts w:ascii="Calibri" w:hAnsi="Calibri" w:cs="Calibri"/>
          <w:kern w:val="0"/>
        </w:rPr>
        <w:t>5</w:t>
      </w:r>
      <w:r w:rsidR="00DA671D" w:rsidRPr="006F65E2">
        <w:rPr>
          <w:rFonts w:ascii="Calibri" w:hAnsi="Calibri" w:cs="Calibri"/>
          <w:kern w:val="0"/>
        </w:rPr>
        <w:t xml:space="preserve"> years </w:t>
      </w:r>
      <w:r w:rsidR="007F683D" w:rsidRPr="006F65E2">
        <w:rPr>
          <w:rFonts w:ascii="Calibri" w:hAnsi="Calibri" w:cs="Calibri"/>
          <w:kern w:val="0"/>
        </w:rPr>
        <w:t xml:space="preserve">to serve as </w:t>
      </w:r>
      <w:r w:rsidR="00DA671D" w:rsidRPr="006F65E2">
        <w:rPr>
          <w:rFonts w:ascii="Calibri" w:hAnsi="Calibri" w:cs="Calibri"/>
          <w:kern w:val="0"/>
        </w:rPr>
        <w:t>the mainstay of response-to-interventions (RTI). In this research, the emphasis has been on both identifying students at risk of learning problems and, perhaps more importantly, in evaluating the effects of instruction</w:t>
      </w:r>
      <w:r w:rsidR="006C13C1" w:rsidRPr="006F65E2">
        <w:rPr>
          <w:rFonts w:ascii="Calibri" w:hAnsi="Calibri" w:cs="Calibri"/>
          <w:kern w:val="0"/>
        </w:rPr>
        <w:t xml:space="preserve"> by classroom teachers</w:t>
      </w:r>
      <w:r w:rsidR="00B33B88" w:rsidRPr="006F65E2">
        <w:rPr>
          <w:rFonts w:ascii="Calibri" w:hAnsi="Calibri" w:cs="Calibri"/>
          <w:kern w:val="0"/>
        </w:rPr>
        <w:t xml:space="preserve">. </w:t>
      </w:r>
      <w:r w:rsidR="007F683D" w:rsidRPr="006F65E2">
        <w:rPr>
          <w:rFonts w:ascii="Calibri" w:hAnsi="Calibri" w:cs="Calibri"/>
          <w:kern w:val="0"/>
        </w:rPr>
        <w:t xml:space="preserve">I also have published extensively on inclusion of these student populations in large-scale </w:t>
      </w:r>
      <w:r w:rsidR="000479D5">
        <w:rPr>
          <w:rFonts w:ascii="Calibri" w:hAnsi="Calibri" w:cs="Calibri"/>
          <w:kern w:val="0"/>
        </w:rPr>
        <w:t xml:space="preserve">testing programs </w:t>
      </w:r>
      <w:r w:rsidR="000479D5" w:rsidRPr="006F65E2">
        <w:rPr>
          <w:rFonts w:ascii="Calibri" w:hAnsi="Calibri" w:cs="Calibri"/>
          <w:kern w:val="0"/>
        </w:rPr>
        <w:t>required by local and state educational agencies (LEAs and SEAs, respectively)</w:t>
      </w:r>
      <w:r w:rsidR="000479D5">
        <w:rPr>
          <w:rFonts w:ascii="Calibri" w:hAnsi="Calibri" w:cs="Calibri"/>
          <w:kern w:val="0"/>
        </w:rPr>
        <w:t xml:space="preserve">. </w:t>
      </w:r>
      <w:r w:rsidR="00116A19" w:rsidRPr="006F65E2">
        <w:rPr>
          <w:rFonts w:ascii="Calibri" w:hAnsi="Calibri" w:cs="Calibri"/>
          <w:kern w:val="0"/>
        </w:rPr>
        <w:t xml:space="preserve">I have focused </w:t>
      </w:r>
      <w:r w:rsidR="000479D5">
        <w:rPr>
          <w:rFonts w:ascii="Calibri" w:hAnsi="Calibri" w:cs="Calibri"/>
          <w:kern w:val="0"/>
        </w:rPr>
        <w:t xml:space="preserve">primarily </w:t>
      </w:r>
      <w:r w:rsidR="00116A19" w:rsidRPr="006F65E2">
        <w:rPr>
          <w:rFonts w:ascii="Calibri" w:hAnsi="Calibri" w:cs="Calibri"/>
          <w:kern w:val="0"/>
        </w:rPr>
        <w:t>on</w:t>
      </w:r>
      <w:r w:rsidR="006C13C1" w:rsidRPr="006F65E2">
        <w:rPr>
          <w:rFonts w:ascii="Calibri" w:hAnsi="Calibri" w:cs="Calibri"/>
          <w:kern w:val="0"/>
        </w:rPr>
        <w:t xml:space="preserve"> providing appropriate accommodations</w:t>
      </w:r>
      <w:r w:rsidR="00DA671D" w:rsidRPr="006F65E2">
        <w:rPr>
          <w:rFonts w:ascii="Calibri" w:hAnsi="Calibri" w:cs="Calibri"/>
          <w:kern w:val="0"/>
        </w:rPr>
        <w:t xml:space="preserve">. </w:t>
      </w:r>
      <w:r w:rsidR="004175BA" w:rsidRPr="006F65E2">
        <w:rPr>
          <w:rFonts w:ascii="Calibri" w:hAnsi="Calibri" w:cs="Calibri"/>
          <w:kern w:val="0"/>
        </w:rPr>
        <w:t xml:space="preserve">While </w:t>
      </w:r>
      <w:r w:rsidR="006F65E2" w:rsidRPr="006F65E2">
        <w:rPr>
          <w:rFonts w:ascii="Calibri" w:hAnsi="Calibri" w:cs="Calibri"/>
          <w:kern w:val="0"/>
        </w:rPr>
        <w:t xml:space="preserve">the </w:t>
      </w:r>
      <w:r w:rsidR="004175BA" w:rsidRPr="006F65E2">
        <w:rPr>
          <w:rFonts w:ascii="Calibri" w:hAnsi="Calibri" w:cs="Calibri"/>
          <w:kern w:val="0"/>
        </w:rPr>
        <w:t xml:space="preserve">peer review and publication process ensures proper oversight </w:t>
      </w:r>
      <w:r w:rsidR="000479D5">
        <w:rPr>
          <w:rFonts w:ascii="Calibri" w:hAnsi="Calibri" w:cs="Calibri"/>
          <w:kern w:val="0"/>
        </w:rPr>
        <w:t>for</w:t>
      </w:r>
      <w:r w:rsidR="004175BA" w:rsidRPr="006F65E2">
        <w:rPr>
          <w:rFonts w:ascii="Calibri" w:hAnsi="Calibri" w:cs="Calibri"/>
          <w:kern w:val="0"/>
        </w:rPr>
        <w:t xml:space="preserve"> scien</w:t>
      </w:r>
      <w:r w:rsidR="006F65E2" w:rsidRPr="006F65E2">
        <w:rPr>
          <w:rFonts w:ascii="Calibri" w:hAnsi="Calibri" w:cs="Calibri"/>
          <w:kern w:val="0"/>
        </w:rPr>
        <w:t>tific inquiry</w:t>
      </w:r>
      <w:r w:rsidR="004175BA" w:rsidRPr="006F65E2">
        <w:rPr>
          <w:rFonts w:ascii="Calibri" w:hAnsi="Calibri" w:cs="Calibri"/>
          <w:kern w:val="0"/>
        </w:rPr>
        <w:t>,</w:t>
      </w:r>
      <w:r w:rsidR="004175BA" w:rsidRPr="006F65E2">
        <w:rPr>
          <w:rFonts w:ascii="Calibri" w:hAnsi="Calibri" w:cs="Calibri"/>
          <w:i/>
          <w:iCs/>
          <w:kern w:val="0"/>
        </w:rPr>
        <w:t xml:space="preserve"> t</w:t>
      </w:r>
      <w:r w:rsidR="00DA671D" w:rsidRPr="006F65E2">
        <w:rPr>
          <w:rFonts w:ascii="Calibri" w:hAnsi="Calibri" w:cs="Calibri"/>
          <w:i/>
          <w:iCs/>
          <w:kern w:val="0"/>
        </w:rPr>
        <w:t>echnical reports</w:t>
      </w:r>
      <w:r w:rsidR="00DA671D" w:rsidRPr="006F65E2">
        <w:rPr>
          <w:rFonts w:ascii="Calibri" w:hAnsi="Calibri" w:cs="Calibri"/>
          <w:kern w:val="0"/>
        </w:rPr>
        <w:t>, however, also need to be published to verify all aspects of technical adequacy, from generating reproducible student results (reliability) to ensuring appropriate interpretations (validity). These reports allow the full presentation of both aspects</w:t>
      </w:r>
      <w:r w:rsidR="006F65E2" w:rsidRPr="006F65E2">
        <w:rPr>
          <w:rFonts w:ascii="Calibri" w:hAnsi="Calibri" w:cs="Calibri"/>
          <w:kern w:val="0"/>
        </w:rPr>
        <w:t>,</w:t>
      </w:r>
      <w:r w:rsidR="00DA671D" w:rsidRPr="006F65E2">
        <w:rPr>
          <w:rFonts w:ascii="Calibri" w:hAnsi="Calibri" w:cs="Calibri"/>
          <w:kern w:val="0"/>
        </w:rPr>
        <w:t xml:space="preserve"> which is not possible through the publication </w:t>
      </w:r>
      <w:r w:rsidR="00D97625" w:rsidRPr="00D625A9">
        <w:rPr>
          <w:rFonts w:ascii="Calibri" w:hAnsi="Calibri" w:cs="Calibri"/>
          <w:kern w:val="0"/>
        </w:rPr>
        <w:t>constraints</w:t>
      </w:r>
      <w:r w:rsidR="00DA671D" w:rsidRPr="006F65E2">
        <w:rPr>
          <w:rFonts w:ascii="Calibri" w:hAnsi="Calibri" w:cs="Calibri"/>
          <w:kern w:val="0"/>
        </w:rPr>
        <w:t xml:space="preserve"> of the peer-review process. Finally, I have combined both publication outlets with </w:t>
      </w:r>
      <w:r w:rsidR="00DA671D" w:rsidRPr="006F65E2">
        <w:rPr>
          <w:rFonts w:ascii="Calibri" w:hAnsi="Calibri" w:cs="Calibri"/>
          <w:i/>
          <w:iCs/>
          <w:kern w:val="0"/>
        </w:rPr>
        <w:t>national presentations</w:t>
      </w:r>
      <w:r w:rsidR="000479D5">
        <w:rPr>
          <w:rFonts w:ascii="Calibri" w:hAnsi="Calibri" w:cs="Calibri"/>
          <w:i/>
          <w:iCs/>
          <w:kern w:val="0"/>
        </w:rPr>
        <w:t xml:space="preserve"> and papers</w:t>
      </w:r>
      <w:r w:rsidR="00DA671D" w:rsidRPr="006F65E2">
        <w:rPr>
          <w:rFonts w:ascii="Calibri" w:hAnsi="Calibri" w:cs="Calibri"/>
          <w:kern w:val="0"/>
        </w:rPr>
        <w:t xml:space="preserve"> </w:t>
      </w:r>
      <w:r w:rsidR="00E7055B" w:rsidRPr="00D625A9">
        <w:rPr>
          <w:rFonts w:ascii="Calibri" w:hAnsi="Calibri" w:cs="Calibri"/>
          <w:kern w:val="0"/>
        </w:rPr>
        <w:t>to</w:t>
      </w:r>
      <w:r w:rsidR="00E7055B">
        <w:rPr>
          <w:rFonts w:ascii="Calibri" w:hAnsi="Calibri" w:cs="Calibri"/>
          <w:kern w:val="0"/>
        </w:rPr>
        <w:t xml:space="preserve"> </w:t>
      </w:r>
      <w:r w:rsidR="00DA671D" w:rsidRPr="006F65E2">
        <w:rPr>
          <w:rFonts w:ascii="Calibri" w:hAnsi="Calibri" w:cs="Calibri"/>
          <w:kern w:val="0"/>
        </w:rPr>
        <w:t>relevant professional groups. Th</w:t>
      </w:r>
      <w:r w:rsidR="004175BA" w:rsidRPr="006F65E2">
        <w:rPr>
          <w:rFonts w:ascii="Calibri" w:hAnsi="Calibri" w:cs="Calibri"/>
          <w:kern w:val="0"/>
        </w:rPr>
        <w:t>ese presentations and papers</w:t>
      </w:r>
      <w:r w:rsidR="00DA671D" w:rsidRPr="006F65E2">
        <w:rPr>
          <w:rFonts w:ascii="Calibri" w:hAnsi="Calibri" w:cs="Calibri"/>
          <w:kern w:val="0"/>
        </w:rPr>
        <w:t xml:space="preserve"> </w:t>
      </w:r>
      <w:r w:rsidR="006C13C1" w:rsidRPr="006F65E2">
        <w:rPr>
          <w:rFonts w:ascii="Calibri" w:hAnsi="Calibri" w:cs="Calibri"/>
          <w:kern w:val="0"/>
        </w:rPr>
        <w:t xml:space="preserve">ensure that </w:t>
      </w:r>
      <w:r w:rsidR="006F65E2" w:rsidRPr="006F65E2">
        <w:rPr>
          <w:rFonts w:ascii="Calibri" w:hAnsi="Calibri" w:cs="Calibri"/>
          <w:kern w:val="0"/>
        </w:rPr>
        <w:t xml:space="preserve">current findings are being instantiated with professionals and in connecting </w:t>
      </w:r>
      <w:r w:rsidR="006C13C1" w:rsidRPr="006F65E2">
        <w:rPr>
          <w:rFonts w:ascii="Calibri" w:hAnsi="Calibri" w:cs="Calibri"/>
          <w:kern w:val="0"/>
        </w:rPr>
        <w:t xml:space="preserve">research </w:t>
      </w:r>
      <w:r w:rsidR="006F65E2" w:rsidRPr="006F65E2">
        <w:rPr>
          <w:rFonts w:ascii="Calibri" w:hAnsi="Calibri" w:cs="Calibri"/>
          <w:kern w:val="0"/>
        </w:rPr>
        <w:t>with</w:t>
      </w:r>
      <w:r w:rsidR="006C13C1" w:rsidRPr="006F65E2">
        <w:rPr>
          <w:rFonts w:ascii="Calibri" w:hAnsi="Calibri" w:cs="Calibri"/>
          <w:kern w:val="0"/>
        </w:rPr>
        <w:t xml:space="preserve"> practice.</w:t>
      </w:r>
    </w:p>
    <w:p w14:paraId="14F53196" w14:textId="77777777" w:rsidR="009F6514" w:rsidRPr="006F65E2" w:rsidRDefault="009F6514" w:rsidP="009F6514">
      <w:pPr>
        <w:autoSpaceDE w:val="0"/>
        <w:autoSpaceDN w:val="0"/>
        <w:adjustRightInd w:val="0"/>
        <w:rPr>
          <w:rFonts w:ascii="Calibri" w:hAnsi="Calibri" w:cs="Calibri"/>
          <w:kern w:val="0"/>
        </w:rPr>
      </w:pPr>
    </w:p>
    <w:p w14:paraId="3F2EECF8" w14:textId="3249A3CA" w:rsidR="003478A2" w:rsidRPr="006F65E2" w:rsidRDefault="009F6514" w:rsidP="009F6514">
      <w:pPr>
        <w:autoSpaceDE w:val="0"/>
        <w:autoSpaceDN w:val="0"/>
        <w:adjustRightInd w:val="0"/>
        <w:rPr>
          <w:rFonts w:ascii="Calibri" w:hAnsi="Calibri" w:cs="Calibri"/>
          <w:kern w:val="0"/>
        </w:rPr>
      </w:pPr>
      <w:r w:rsidRPr="006F65E2">
        <w:rPr>
          <w:rFonts w:ascii="Calibri" w:hAnsi="Calibri" w:cs="Calibri"/>
          <w:i/>
          <w:iCs/>
          <w:kern w:val="0"/>
        </w:rPr>
        <w:t xml:space="preserve">An </w:t>
      </w:r>
      <w:r w:rsidR="006F65E2" w:rsidRPr="006F65E2">
        <w:rPr>
          <w:rFonts w:ascii="Calibri" w:hAnsi="Calibri" w:cs="Calibri"/>
          <w:i/>
          <w:iCs/>
          <w:kern w:val="0"/>
        </w:rPr>
        <w:t>E</w:t>
      </w:r>
      <w:r w:rsidRPr="006F65E2">
        <w:rPr>
          <w:rFonts w:ascii="Calibri" w:hAnsi="Calibri" w:cs="Calibri"/>
          <w:i/>
          <w:iCs/>
          <w:kern w:val="0"/>
        </w:rPr>
        <w:t xml:space="preserve">mpirical </w:t>
      </w:r>
      <w:r w:rsidR="006F65E2" w:rsidRPr="006F65E2">
        <w:rPr>
          <w:rFonts w:ascii="Calibri" w:hAnsi="Calibri" w:cs="Calibri"/>
          <w:i/>
          <w:iCs/>
          <w:kern w:val="0"/>
        </w:rPr>
        <w:t>B</w:t>
      </w:r>
      <w:r w:rsidRPr="006F65E2">
        <w:rPr>
          <w:rFonts w:ascii="Calibri" w:hAnsi="Calibri" w:cs="Calibri"/>
          <w:i/>
          <w:iCs/>
          <w:kern w:val="0"/>
        </w:rPr>
        <w:t xml:space="preserve">asis for </w:t>
      </w:r>
      <w:r w:rsidR="006F65E2" w:rsidRPr="006F65E2">
        <w:rPr>
          <w:rFonts w:ascii="Calibri" w:hAnsi="Calibri" w:cs="Calibri"/>
          <w:i/>
          <w:iCs/>
          <w:kern w:val="0"/>
        </w:rPr>
        <w:t>C</w:t>
      </w:r>
      <w:r w:rsidRPr="006F65E2">
        <w:rPr>
          <w:rFonts w:ascii="Calibri" w:hAnsi="Calibri" w:cs="Calibri"/>
          <w:i/>
          <w:iCs/>
          <w:kern w:val="0"/>
        </w:rPr>
        <w:t>hange.</w:t>
      </w:r>
      <w:r w:rsidRPr="006F65E2">
        <w:rPr>
          <w:rFonts w:ascii="Calibri" w:hAnsi="Calibri" w:cs="Calibri"/>
          <w:kern w:val="0"/>
        </w:rPr>
        <w:t xml:space="preserve"> Science notwithstanding, the practice of education</w:t>
      </w:r>
      <w:r w:rsidR="006C2ECC" w:rsidRPr="006F65E2">
        <w:rPr>
          <w:rFonts w:ascii="Calibri" w:hAnsi="Calibri" w:cs="Calibri"/>
          <w:kern w:val="0"/>
        </w:rPr>
        <w:t xml:space="preserve"> </w:t>
      </w:r>
      <w:r w:rsidRPr="006F65E2">
        <w:rPr>
          <w:rFonts w:ascii="Calibri" w:hAnsi="Calibri" w:cs="Calibri"/>
          <w:kern w:val="0"/>
        </w:rPr>
        <w:t>rests on making an individual difference, even with</w:t>
      </w:r>
      <w:r w:rsidR="006C2ECC" w:rsidRPr="006F65E2">
        <w:rPr>
          <w:rFonts w:ascii="Calibri" w:hAnsi="Calibri" w:cs="Calibri"/>
          <w:kern w:val="0"/>
        </w:rPr>
        <w:t>,</w:t>
      </w:r>
      <w:r w:rsidRPr="006F65E2">
        <w:rPr>
          <w:rFonts w:ascii="Calibri" w:hAnsi="Calibri" w:cs="Calibri"/>
          <w:kern w:val="0"/>
        </w:rPr>
        <w:t xml:space="preserve"> and </w:t>
      </w:r>
      <w:r w:rsidR="006C2ECC" w:rsidRPr="006F65E2">
        <w:rPr>
          <w:rFonts w:ascii="Calibri" w:hAnsi="Calibri" w:cs="Calibri"/>
          <w:kern w:val="0"/>
        </w:rPr>
        <w:t xml:space="preserve">despite </w:t>
      </w:r>
      <w:r w:rsidR="006F65E2" w:rsidRPr="006F65E2">
        <w:rPr>
          <w:rFonts w:ascii="Calibri" w:hAnsi="Calibri" w:cs="Calibri"/>
          <w:kern w:val="0"/>
        </w:rPr>
        <w:t>recognition of</w:t>
      </w:r>
      <w:r w:rsidRPr="006F65E2">
        <w:rPr>
          <w:rFonts w:ascii="Calibri" w:hAnsi="Calibri" w:cs="Calibri"/>
          <w:kern w:val="0"/>
        </w:rPr>
        <w:t xml:space="preserve"> individual differences.</w:t>
      </w:r>
      <w:r w:rsidR="006C2ECC" w:rsidRPr="006F65E2">
        <w:rPr>
          <w:rFonts w:ascii="Calibri" w:hAnsi="Calibri" w:cs="Calibri"/>
          <w:kern w:val="0"/>
        </w:rPr>
        <w:t xml:space="preserve"> </w:t>
      </w:r>
      <w:r w:rsidR="006C2ECC" w:rsidRPr="006F65E2">
        <w:rPr>
          <w:rFonts w:ascii="Calibri" w:hAnsi="Calibri" w:cs="Calibri"/>
          <w:kern w:val="0"/>
        </w:rPr>
        <w:lastRenderedPageBreak/>
        <w:t>T</w:t>
      </w:r>
      <w:r w:rsidRPr="006F65E2">
        <w:rPr>
          <w:rFonts w:ascii="Calibri" w:hAnsi="Calibri" w:cs="Calibri"/>
          <w:kern w:val="0"/>
        </w:rPr>
        <w:t>he practices of teaching and learning cannot simply wait in abeyance while research findings accrue. Every day, sometime around 8 in the morning</w:t>
      </w:r>
      <w:r w:rsidR="006C2ECC" w:rsidRPr="006F65E2">
        <w:rPr>
          <w:rFonts w:ascii="Calibri" w:hAnsi="Calibri" w:cs="Calibri"/>
          <w:kern w:val="0"/>
        </w:rPr>
        <w:t xml:space="preserve"> </w:t>
      </w:r>
      <w:r w:rsidR="004175BA" w:rsidRPr="006F65E2">
        <w:rPr>
          <w:rFonts w:ascii="Calibri" w:hAnsi="Calibri" w:cs="Calibri"/>
          <w:kern w:val="0"/>
        </w:rPr>
        <w:t>(</w:t>
      </w:r>
      <w:r w:rsidR="006C2ECC" w:rsidRPr="006F65E2">
        <w:rPr>
          <w:rFonts w:ascii="Calibri" w:hAnsi="Calibri" w:cs="Calibri"/>
          <w:kern w:val="0"/>
        </w:rPr>
        <w:t>local time</w:t>
      </w:r>
      <w:r w:rsidR="004175BA" w:rsidRPr="006F65E2">
        <w:rPr>
          <w:rFonts w:ascii="Calibri" w:hAnsi="Calibri" w:cs="Calibri"/>
          <w:kern w:val="0"/>
        </w:rPr>
        <w:t>)</w:t>
      </w:r>
      <w:r w:rsidRPr="006F65E2">
        <w:rPr>
          <w:rFonts w:ascii="Calibri" w:hAnsi="Calibri" w:cs="Calibri"/>
          <w:kern w:val="0"/>
        </w:rPr>
        <w:t xml:space="preserve">, teachers face a classroom full of wide-eyed children alert to the possibilities. </w:t>
      </w:r>
      <w:r w:rsidR="000479D5">
        <w:rPr>
          <w:rFonts w:ascii="Calibri" w:hAnsi="Calibri" w:cs="Calibri"/>
          <w:kern w:val="0"/>
        </w:rPr>
        <w:t xml:space="preserve">I have developed </w:t>
      </w:r>
      <w:r w:rsidRPr="006F65E2">
        <w:rPr>
          <w:rFonts w:ascii="Calibri" w:hAnsi="Calibri" w:cs="Calibri"/>
          <w:kern w:val="0"/>
        </w:rPr>
        <w:t>software to bridge and facilitate the distinction between addressing individual differences and making an individual difference</w:t>
      </w:r>
      <w:r w:rsidR="000479D5">
        <w:rPr>
          <w:rFonts w:ascii="Calibri" w:hAnsi="Calibri" w:cs="Calibri"/>
          <w:kern w:val="0"/>
        </w:rPr>
        <w:t xml:space="preserve"> (</w:t>
      </w:r>
      <w:r w:rsidRPr="006F65E2">
        <w:rPr>
          <w:rFonts w:ascii="Calibri" w:hAnsi="Calibri" w:cs="Calibri"/>
          <w:kern w:val="0"/>
        </w:rPr>
        <w:t>an attribution to Dr. Stan Deno</w:t>
      </w:r>
      <w:r w:rsidR="000479D5">
        <w:rPr>
          <w:rFonts w:ascii="Calibri" w:hAnsi="Calibri" w:cs="Calibri"/>
          <w:kern w:val="0"/>
        </w:rPr>
        <w:t>)</w:t>
      </w:r>
      <w:r w:rsidR="006F65E2" w:rsidRPr="006F65E2">
        <w:rPr>
          <w:rFonts w:ascii="Calibri" w:hAnsi="Calibri" w:cs="Calibri"/>
          <w:kern w:val="0"/>
        </w:rPr>
        <w:t xml:space="preserve">. </w:t>
      </w:r>
      <w:r w:rsidR="000479D5">
        <w:rPr>
          <w:rFonts w:ascii="Calibri" w:hAnsi="Calibri" w:cs="Calibri"/>
          <w:kern w:val="0"/>
        </w:rPr>
        <w:t>This</w:t>
      </w:r>
      <w:r w:rsidR="003478A2" w:rsidRPr="006F65E2">
        <w:rPr>
          <w:rFonts w:ascii="Calibri" w:hAnsi="Calibri" w:cs="Calibri"/>
          <w:kern w:val="0"/>
        </w:rPr>
        <w:t xml:space="preserve"> technological </w:t>
      </w:r>
      <w:r w:rsidR="00D625A9" w:rsidRPr="00D625A9">
        <w:rPr>
          <w:rFonts w:ascii="Calibri" w:hAnsi="Calibri" w:cs="Calibri"/>
          <w:kern w:val="0"/>
        </w:rPr>
        <w:t>landscape</w:t>
      </w:r>
      <w:r w:rsidR="003478A2" w:rsidRPr="00D625A9">
        <w:rPr>
          <w:rFonts w:ascii="Calibri" w:hAnsi="Calibri" w:cs="Calibri"/>
          <w:kern w:val="0"/>
        </w:rPr>
        <w:t xml:space="preserve"> </w:t>
      </w:r>
      <w:r w:rsidR="000479D5">
        <w:rPr>
          <w:rFonts w:ascii="Calibri" w:hAnsi="Calibri" w:cs="Calibri"/>
          <w:kern w:val="0"/>
        </w:rPr>
        <w:t xml:space="preserve">is designed to </w:t>
      </w:r>
      <w:r w:rsidR="003478A2" w:rsidRPr="006F65E2">
        <w:rPr>
          <w:rFonts w:ascii="Calibri" w:hAnsi="Calibri" w:cs="Calibri"/>
          <w:kern w:val="0"/>
        </w:rPr>
        <w:t xml:space="preserve">solve </w:t>
      </w:r>
      <w:r w:rsidR="00922E44" w:rsidRPr="006F65E2">
        <w:rPr>
          <w:rFonts w:ascii="Calibri" w:hAnsi="Calibri" w:cs="Calibri"/>
          <w:kern w:val="0"/>
        </w:rPr>
        <w:t>in</w:t>
      </w:r>
      <w:r w:rsidR="003478A2" w:rsidRPr="006F65E2">
        <w:rPr>
          <w:rFonts w:ascii="Calibri" w:hAnsi="Calibri" w:cs="Calibri"/>
          <w:kern w:val="0"/>
        </w:rPr>
        <w:t xml:space="preserve">sufficient teacher </w:t>
      </w:r>
      <w:r w:rsidR="00074AD8" w:rsidRPr="006F65E2">
        <w:rPr>
          <w:rFonts w:ascii="Calibri" w:hAnsi="Calibri" w:cs="Calibri"/>
          <w:kern w:val="0"/>
        </w:rPr>
        <w:t>measurement practices</w:t>
      </w:r>
      <w:r w:rsidR="003478A2" w:rsidRPr="006F65E2">
        <w:rPr>
          <w:rFonts w:ascii="Calibri" w:hAnsi="Calibri" w:cs="Calibri"/>
          <w:kern w:val="0"/>
        </w:rPr>
        <w:t xml:space="preserve"> </w:t>
      </w:r>
      <w:r w:rsidR="006F65E2" w:rsidRPr="006F65E2">
        <w:rPr>
          <w:rFonts w:ascii="Calibri" w:hAnsi="Calibri" w:cs="Calibri"/>
          <w:kern w:val="0"/>
        </w:rPr>
        <w:t xml:space="preserve">due to </w:t>
      </w:r>
      <w:r w:rsidR="000479D5">
        <w:rPr>
          <w:rFonts w:ascii="Calibri" w:hAnsi="Calibri" w:cs="Calibri"/>
          <w:kern w:val="0"/>
        </w:rPr>
        <w:t xml:space="preserve">the lack of </w:t>
      </w:r>
      <w:r w:rsidR="006F65E2" w:rsidRPr="006F65E2">
        <w:rPr>
          <w:rFonts w:ascii="Calibri" w:hAnsi="Calibri" w:cs="Calibri"/>
          <w:kern w:val="0"/>
        </w:rPr>
        <w:t>training or time</w:t>
      </w:r>
      <w:r w:rsidR="003478A2" w:rsidRPr="006F65E2">
        <w:rPr>
          <w:rFonts w:ascii="Calibri" w:hAnsi="Calibri" w:cs="Calibri"/>
          <w:kern w:val="0"/>
        </w:rPr>
        <w:t xml:space="preserve">. </w:t>
      </w:r>
      <w:r w:rsidR="006F65E2" w:rsidRPr="006F65E2">
        <w:rPr>
          <w:rFonts w:ascii="Calibri" w:hAnsi="Calibri" w:cs="Calibri"/>
          <w:kern w:val="0"/>
        </w:rPr>
        <w:t xml:space="preserve">I have led a team of researchers and programmers to </w:t>
      </w:r>
      <w:r w:rsidR="000479D5">
        <w:rPr>
          <w:rFonts w:ascii="Calibri" w:hAnsi="Calibri" w:cs="Calibri"/>
          <w:kern w:val="0"/>
        </w:rPr>
        <w:t>build</w:t>
      </w:r>
      <w:r w:rsidR="00C22DE1" w:rsidRPr="006F65E2">
        <w:rPr>
          <w:rFonts w:ascii="Calibri" w:hAnsi="Calibri" w:cs="Calibri"/>
          <w:kern w:val="0"/>
        </w:rPr>
        <w:t xml:space="preserve"> </w:t>
      </w:r>
      <w:r w:rsidR="00464E18">
        <w:rPr>
          <w:rFonts w:ascii="Calibri" w:hAnsi="Calibri" w:cs="Calibri"/>
          <w:kern w:val="0"/>
        </w:rPr>
        <w:t>four</w:t>
      </w:r>
      <w:r w:rsidR="00C22DE1" w:rsidRPr="006F65E2">
        <w:rPr>
          <w:rFonts w:ascii="Calibri" w:hAnsi="Calibri" w:cs="Calibri"/>
          <w:kern w:val="0"/>
        </w:rPr>
        <w:t xml:space="preserve"> software platforms</w:t>
      </w:r>
      <w:r w:rsidR="006F65E2" w:rsidRPr="006F65E2">
        <w:rPr>
          <w:rFonts w:ascii="Calibri" w:hAnsi="Calibri" w:cs="Calibri"/>
          <w:kern w:val="0"/>
        </w:rPr>
        <w:t xml:space="preserve"> </w:t>
      </w:r>
      <w:r w:rsidR="008D2D93" w:rsidRPr="00D625A9">
        <w:rPr>
          <w:rFonts w:ascii="Calibri" w:hAnsi="Calibri" w:cs="Calibri"/>
          <w:kern w:val="0"/>
        </w:rPr>
        <w:t>over a 40-year period</w:t>
      </w:r>
      <w:r w:rsidR="008D2D93">
        <w:rPr>
          <w:rFonts w:ascii="Calibri" w:hAnsi="Calibri" w:cs="Calibri"/>
          <w:kern w:val="0"/>
        </w:rPr>
        <w:t xml:space="preserve"> </w:t>
      </w:r>
      <w:r w:rsidR="006F65E2" w:rsidRPr="006F65E2">
        <w:rPr>
          <w:rFonts w:ascii="Calibri" w:hAnsi="Calibri" w:cs="Calibri"/>
          <w:kern w:val="0"/>
        </w:rPr>
        <w:t>that</w:t>
      </w:r>
      <w:r w:rsidR="00C22DE1" w:rsidRPr="006F65E2">
        <w:rPr>
          <w:rFonts w:ascii="Calibri" w:hAnsi="Calibri" w:cs="Calibri"/>
          <w:kern w:val="0"/>
        </w:rPr>
        <w:t xml:space="preserve"> incorporate rigorous research-based tenets of measurement and facilitate an efficient process for </w:t>
      </w:r>
      <w:r w:rsidR="006F65E2" w:rsidRPr="006F65E2">
        <w:rPr>
          <w:rFonts w:ascii="Calibri" w:hAnsi="Calibri" w:cs="Calibri"/>
          <w:kern w:val="0"/>
        </w:rPr>
        <w:t>documenting</w:t>
      </w:r>
      <w:r w:rsidR="00C22DE1" w:rsidRPr="006F65E2">
        <w:rPr>
          <w:rFonts w:ascii="Calibri" w:hAnsi="Calibri" w:cs="Calibri"/>
          <w:kern w:val="0"/>
        </w:rPr>
        <w:t xml:space="preserve"> relevant student learning</w:t>
      </w:r>
      <w:r w:rsidR="006F65E2" w:rsidRPr="006F65E2">
        <w:rPr>
          <w:rFonts w:ascii="Calibri" w:hAnsi="Calibri" w:cs="Calibri"/>
          <w:kern w:val="0"/>
        </w:rPr>
        <w:t xml:space="preserve"> to make critical</w:t>
      </w:r>
      <w:r w:rsidR="000479D5">
        <w:rPr>
          <w:rFonts w:ascii="Calibri" w:hAnsi="Calibri" w:cs="Calibri"/>
          <w:kern w:val="0"/>
        </w:rPr>
        <w:t xml:space="preserve"> instructional</w:t>
      </w:r>
      <w:r w:rsidR="006F65E2" w:rsidRPr="006F65E2">
        <w:rPr>
          <w:rFonts w:ascii="Calibri" w:hAnsi="Calibri" w:cs="Calibri"/>
          <w:kern w:val="0"/>
        </w:rPr>
        <w:t xml:space="preserve"> decisions in real time</w:t>
      </w:r>
      <w:r w:rsidR="004175BA" w:rsidRPr="006F65E2">
        <w:rPr>
          <w:rFonts w:ascii="Calibri" w:hAnsi="Calibri" w:cs="Calibri"/>
          <w:kern w:val="0"/>
        </w:rPr>
        <w:t>.</w:t>
      </w:r>
    </w:p>
    <w:p w14:paraId="5BB825BF" w14:textId="77777777" w:rsidR="006F65E2" w:rsidRPr="006F65E2" w:rsidRDefault="006F65E2" w:rsidP="009F6514">
      <w:pPr>
        <w:autoSpaceDE w:val="0"/>
        <w:autoSpaceDN w:val="0"/>
        <w:adjustRightInd w:val="0"/>
        <w:rPr>
          <w:rFonts w:ascii="Calibri" w:hAnsi="Calibri" w:cs="Calibri"/>
          <w:kern w:val="0"/>
        </w:rPr>
      </w:pPr>
    </w:p>
    <w:p w14:paraId="3AE71C42" w14:textId="059D9327" w:rsidR="003478A2" w:rsidRPr="006F65E2" w:rsidRDefault="00C22DE1" w:rsidP="009F6514">
      <w:pPr>
        <w:autoSpaceDE w:val="0"/>
        <w:autoSpaceDN w:val="0"/>
        <w:adjustRightInd w:val="0"/>
        <w:rPr>
          <w:rFonts w:ascii="Calibri" w:hAnsi="Calibri" w:cs="Calibri"/>
          <w:kern w:val="0"/>
        </w:rPr>
      </w:pPr>
      <w:r w:rsidRPr="006F65E2">
        <w:rPr>
          <w:rFonts w:ascii="Calibri" w:hAnsi="Calibri" w:cs="Calibri"/>
          <w:kern w:val="0"/>
        </w:rPr>
        <w:t xml:space="preserve">The main </w:t>
      </w:r>
      <w:r w:rsidR="00AF4748">
        <w:rPr>
          <w:rFonts w:ascii="Calibri" w:hAnsi="Calibri" w:cs="Calibri"/>
          <w:kern w:val="0"/>
        </w:rPr>
        <w:t xml:space="preserve">assessment </w:t>
      </w:r>
      <w:r w:rsidRPr="006F65E2">
        <w:rPr>
          <w:rFonts w:ascii="Calibri" w:hAnsi="Calibri" w:cs="Calibri"/>
          <w:kern w:val="0"/>
        </w:rPr>
        <w:t>software I have author</w:t>
      </w:r>
      <w:r w:rsidR="00074AD8" w:rsidRPr="006F65E2">
        <w:rPr>
          <w:rFonts w:ascii="Calibri" w:hAnsi="Calibri" w:cs="Calibri"/>
          <w:kern w:val="0"/>
        </w:rPr>
        <w:t>ed</w:t>
      </w:r>
      <w:r w:rsidRPr="006F65E2">
        <w:rPr>
          <w:rFonts w:ascii="Calibri" w:hAnsi="Calibri" w:cs="Calibri"/>
          <w:kern w:val="0"/>
        </w:rPr>
        <w:t xml:space="preserve"> plays off its roots as a curriculum-based measure (CBM): </w:t>
      </w:r>
      <w:proofErr w:type="spellStart"/>
      <w:r w:rsidRPr="006F65E2">
        <w:rPr>
          <w:rFonts w:ascii="Calibri" w:hAnsi="Calibri" w:cs="Calibri"/>
          <w:kern w:val="0"/>
        </w:rPr>
        <w:t>easyCBM</w:t>
      </w:r>
      <w:proofErr w:type="spellEnd"/>
      <w:r w:rsidR="00677D81" w:rsidRPr="006F65E2">
        <w:rPr>
          <w:rFonts w:ascii="Calibri" w:hAnsi="Calibri" w:cs="Calibri"/>
          <w:kern w:val="0"/>
        </w:rPr>
        <w:t>®</w:t>
      </w:r>
      <w:r w:rsidRPr="006F65E2">
        <w:rPr>
          <w:rFonts w:ascii="Calibri" w:hAnsi="Calibri" w:cs="Calibri"/>
          <w:kern w:val="0"/>
        </w:rPr>
        <w:t xml:space="preserve"> for monitoring reading and mathematics</w:t>
      </w:r>
      <w:r w:rsidR="000479D5">
        <w:rPr>
          <w:rFonts w:ascii="Calibri" w:hAnsi="Calibri" w:cs="Calibri"/>
          <w:kern w:val="0"/>
        </w:rPr>
        <w:t xml:space="preserve"> performance and progress of students</w:t>
      </w:r>
      <w:r w:rsidRPr="006F65E2">
        <w:rPr>
          <w:rFonts w:ascii="Calibri" w:hAnsi="Calibri" w:cs="Calibri"/>
          <w:kern w:val="0"/>
        </w:rPr>
        <w:t xml:space="preserve"> in Grades K through </w:t>
      </w:r>
      <w:r w:rsidR="00DA4A1A">
        <w:rPr>
          <w:rFonts w:ascii="Calibri" w:hAnsi="Calibri" w:cs="Calibri"/>
          <w:kern w:val="0"/>
        </w:rPr>
        <w:t>8</w:t>
      </w:r>
      <w:r w:rsidR="00B357A3">
        <w:rPr>
          <w:rFonts w:ascii="Calibri" w:hAnsi="Calibri" w:cs="Calibri"/>
          <w:kern w:val="0"/>
        </w:rPr>
        <w:t xml:space="preserve">. </w:t>
      </w:r>
      <w:r w:rsidRPr="006F65E2">
        <w:rPr>
          <w:rFonts w:ascii="Calibri" w:hAnsi="Calibri" w:cs="Calibri"/>
          <w:kern w:val="0"/>
        </w:rPr>
        <w:t xml:space="preserve">Three versions of the software have been developed to ensure </w:t>
      </w:r>
      <w:r w:rsidR="000479D5">
        <w:rPr>
          <w:rFonts w:ascii="Calibri" w:hAnsi="Calibri" w:cs="Calibri"/>
          <w:kern w:val="0"/>
        </w:rPr>
        <w:t xml:space="preserve">widespread </w:t>
      </w:r>
      <w:r w:rsidRPr="006F65E2">
        <w:rPr>
          <w:rFonts w:ascii="Calibri" w:hAnsi="Calibri" w:cs="Calibri"/>
          <w:kern w:val="0"/>
        </w:rPr>
        <w:t>uptake. A free (</w:t>
      </w:r>
      <w:r w:rsidRPr="006F65E2">
        <w:rPr>
          <w:rFonts w:ascii="Calibri" w:hAnsi="Calibri" w:cs="Calibri"/>
          <w:kern w:val="0"/>
          <w:u w:val="single"/>
        </w:rPr>
        <w:t>Lite</w:t>
      </w:r>
      <w:r w:rsidRPr="006F65E2">
        <w:rPr>
          <w:rFonts w:ascii="Calibri" w:hAnsi="Calibri" w:cs="Calibri"/>
          <w:kern w:val="0"/>
        </w:rPr>
        <w:t>) version allows teachers to assess students and practice formative evaluation of instruction for individual students. A minimal cost (</w:t>
      </w:r>
      <w:r w:rsidRPr="006F65E2">
        <w:rPr>
          <w:rFonts w:ascii="Calibri" w:hAnsi="Calibri" w:cs="Calibri"/>
          <w:kern w:val="0"/>
          <w:u w:val="single"/>
        </w:rPr>
        <w:t>Deluxe</w:t>
      </w:r>
      <w:r w:rsidRPr="006F65E2">
        <w:rPr>
          <w:rFonts w:ascii="Calibri" w:hAnsi="Calibri" w:cs="Calibri"/>
          <w:kern w:val="0"/>
        </w:rPr>
        <w:t xml:space="preserve">) version allows teachers to evaluate instruction for classrooms (up to 200 students). Finally, a fully supported </w:t>
      </w:r>
      <w:r w:rsidRPr="006F65E2">
        <w:rPr>
          <w:rFonts w:ascii="Calibri" w:hAnsi="Calibri" w:cs="Calibri"/>
          <w:kern w:val="0"/>
          <w:u w:val="single"/>
        </w:rPr>
        <w:t>District</w:t>
      </w:r>
      <w:r w:rsidRPr="006F65E2">
        <w:rPr>
          <w:rFonts w:ascii="Calibri" w:hAnsi="Calibri" w:cs="Calibri"/>
          <w:kern w:val="0"/>
        </w:rPr>
        <w:t xml:space="preserve"> version is </w:t>
      </w:r>
      <w:r w:rsidR="006F65E2" w:rsidRPr="006F65E2">
        <w:rPr>
          <w:rFonts w:ascii="Calibri" w:hAnsi="Calibri" w:cs="Calibri"/>
          <w:kern w:val="0"/>
        </w:rPr>
        <w:t>marketed</w:t>
      </w:r>
      <w:r w:rsidRPr="006F65E2">
        <w:rPr>
          <w:rFonts w:ascii="Calibri" w:hAnsi="Calibri" w:cs="Calibri"/>
          <w:kern w:val="0"/>
        </w:rPr>
        <w:t xml:space="preserve"> by Riverside Insights, a publishing company with an extensive history of </w:t>
      </w:r>
      <w:r w:rsidR="00074AD8" w:rsidRPr="006F65E2">
        <w:rPr>
          <w:rFonts w:ascii="Calibri" w:hAnsi="Calibri" w:cs="Calibri"/>
          <w:kern w:val="0"/>
        </w:rPr>
        <w:t>distributing</w:t>
      </w:r>
      <w:r w:rsidRPr="006F65E2">
        <w:rPr>
          <w:rFonts w:ascii="Calibri" w:hAnsi="Calibri" w:cs="Calibri"/>
          <w:kern w:val="0"/>
        </w:rPr>
        <w:t xml:space="preserve"> assessment systems.</w:t>
      </w:r>
      <w:r w:rsidR="00677D81" w:rsidRPr="006F65E2">
        <w:rPr>
          <w:rFonts w:ascii="Calibri" w:hAnsi="Calibri" w:cs="Calibri"/>
          <w:kern w:val="0"/>
        </w:rPr>
        <w:t xml:space="preserve"> </w:t>
      </w:r>
      <w:r w:rsidR="000479D5">
        <w:rPr>
          <w:rFonts w:ascii="Calibri" w:hAnsi="Calibri" w:cs="Calibri"/>
          <w:kern w:val="0"/>
        </w:rPr>
        <w:t>All three</w:t>
      </w:r>
      <w:r w:rsidR="00677D81" w:rsidRPr="006F65E2">
        <w:rPr>
          <w:rFonts w:ascii="Calibri" w:hAnsi="Calibri" w:cs="Calibri"/>
          <w:kern w:val="0"/>
        </w:rPr>
        <w:t xml:space="preserve"> system</w:t>
      </w:r>
      <w:r w:rsidR="000479D5">
        <w:rPr>
          <w:rFonts w:ascii="Calibri" w:hAnsi="Calibri" w:cs="Calibri"/>
          <w:kern w:val="0"/>
        </w:rPr>
        <w:t>s</w:t>
      </w:r>
      <w:r w:rsidR="00677D81" w:rsidRPr="006F65E2">
        <w:rPr>
          <w:rFonts w:ascii="Calibri" w:hAnsi="Calibri" w:cs="Calibri"/>
          <w:kern w:val="0"/>
        </w:rPr>
        <w:t xml:space="preserve"> </w:t>
      </w:r>
      <w:r w:rsidR="000479D5">
        <w:rPr>
          <w:rFonts w:ascii="Calibri" w:hAnsi="Calibri" w:cs="Calibri"/>
          <w:kern w:val="0"/>
        </w:rPr>
        <w:t>are</w:t>
      </w:r>
      <w:r w:rsidR="00677D81" w:rsidRPr="006F65E2">
        <w:rPr>
          <w:rFonts w:ascii="Calibri" w:hAnsi="Calibri" w:cs="Calibri"/>
          <w:kern w:val="0"/>
        </w:rPr>
        <w:t xml:space="preserve"> currently in use across the United States</w:t>
      </w:r>
      <w:r w:rsidR="006F65E2" w:rsidRPr="006F65E2">
        <w:rPr>
          <w:rFonts w:ascii="Calibri" w:hAnsi="Calibri" w:cs="Calibri"/>
          <w:kern w:val="0"/>
        </w:rPr>
        <w:t>, adopted</w:t>
      </w:r>
      <w:r w:rsidR="00677D81" w:rsidRPr="006F65E2">
        <w:rPr>
          <w:rFonts w:ascii="Calibri" w:hAnsi="Calibri" w:cs="Calibri"/>
          <w:kern w:val="0"/>
        </w:rPr>
        <w:t xml:space="preserve"> in hundreds of school districts</w:t>
      </w:r>
      <w:r w:rsidR="00AF4748">
        <w:rPr>
          <w:rFonts w:ascii="Calibri" w:hAnsi="Calibri" w:cs="Calibri"/>
          <w:kern w:val="0"/>
        </w:rPr>
        <w:t xml:space="preserve"> and</w:t>
      </w:r>
      <w:r w:rsidR="00677D81" w:rsidRPr="006F65E2">
        <w:rPr>
          <w:rFonts w:ascii="Calibri" w:hAnsi="Calibri" w:cs="Calibri"/>
          <w:kern w:val="0"/>
        </w:rPr>
        <w:t xml:space="preserve"> used by tens of thousands of </w:t>
      </w:r>
      <w:r w:rsidR="00677D81" w:rsidRPr="00D625A9">
        <w:rPr>
          <w:rFonts w:ascii="Calibri" w:hAnsi="Calibri" w:cs="Calibri"/>
          <w:kern w:val="0"/>
        </w:rPr>
        <w:t>teachers</w:t>
      </w:r>
      <w:r w:rsidR="00D625A9" w:rsidRPr="00D625A9">
        <w:rPr>
          <w:rFonts w:ascii="Calibri" w:hAnsi="Calibri" w:cs="Calibri"/>
          <w:kern w:val="0"/>
        </w:rPr>
        <w:t xml:space="preserve"> </w:t>
      </w:r>
      <w:r w:rsidR="008D2D93" w:rsidRPr="00D625A9">
        <w:rPr>
          <w:rFonts w:ascii="Calibri" w:hAnsi="Calibri" w:cs="Calibri"/>
          <w:kern w:val="0"/>
        </w:rPr>
        <w:t>to assess</w:t>
      </w:r>
      <w:r w:rsidR="008D2D93">
        <w:rPr>
          <w:rFonts w:ascii="Calibri" w:hAnsi="Calibri" w:cs="Calibri"/>
          <w:kern w:val="0"/>
        </w:rPr>
        <w:t xml:space="preserve"> </w:t>
      </w:r>
      <w:r w:rsidR="00677D81" w:rsidRPr="006F65E2">
        <w:rPr>
          <w:rFonts w:ascii="Calibri" w:hAnsi="Calibri" w:cs="Calibri"/>
          <w:kern w:val="0"/>
        </w:rPr>
        <w:t>million</w:t>
      </w:r>
      <w:r w:rsidR="00322715">
        <w:rPr>
          <w:rFonts w:ascii="Calibri" w:hAnsi="Calibri" w:cs="Calibri"/>
          <w:kern w:val="0"/>
        </w:rPr>
        <w:t>s of</w:t>
      </w:r>
      <w:r w:rsidR="00677D81" w:rsidRPr="006F65E2">
        <w:rPr>
          <w:rFonts w:ascii="Calibri" w:hAnsi="Calibri" w:cs="Calibri"/>
          <w:kern w:val="0"/>
        </w:rPr>
        <w:t xml:space="preserve"> students.</w:t>
      </w:r>
      <w:r w:rsidR="00AF4748">
        <w:rPr>
          <w:rFonts w:ascii="Calibri" w:hAnsi="Calibri" w:cs="Calibri"/>
          <w:kern w:val="0"/>
        </w:rPr>
        <w:t xml:space="preserve"> See</w:t>
      </w:r>
      <w:r w:rsidR="00AF4748" w:rsidRPr="006F65E2">
        <w:rPr>
          <w:rFonts w:ascii="Calibri" w:hAnsi="Calibri" w:cs="Calibri"/>
          <w:kern w:val="0"/>
        </w:rPr>
        <w:t xml:space="preserve"> </w:t>
      </w:r>
      <w:hyperlink r:id="rId8" w:history="1">
        <w:r w:rsidR="00AF4748" w:rsidRPr="006F65E2">
          <w:rPr>
            <w:rStyle w:val="Hyperlink"/>
            <w:rFonts w:ascii="Calibri" w:hAnsi="Calibri" w:cs="Calibri"/>
            <w:kern w:val="0"/>
          </w:rPr>
          <w:t>https://easyCBM.com</w:t>
        </w:r>
      </w:hyperlink>
      <w:r w:rsidR="00AF4748" w:rsidRPr="006F65E2">
        <w:rPr>
          <w:rFonts w:ascii="Calibri" w:hAnsi="Calibri" w:cs="Calibri"/>
          <w:kern w:val="0"/>
        </w:rPr>
        <w:t>.</w:t>
      </w:r>
    </w:p>
    <w:p w14:paraId="1859D3CB" w14:textId="77777777" w:rsidR="00C22DE1" w:rsidRPr="006F65E2" w:rsidRDefault="00C22DE1" w:rsidP="009F6514">
      <w:pPr>
        <w:autoSpaceDE w:val="0"/>
        <w:autoSpaceDN w:val="0"/>
        <w:adjustRightInd w:val="0"/>
        <w:rPr>
          <w:rFonts w:ascii="Calibri" w:hAnsi="Calibri" w:cs="Calibri"/>
          <w:kern w:val="0"/>
        </w:rPr>
      </w:pPr>
    </w:p>
    <w:p w14:paraId="748A0D09" w14:textId="0539E9FE" w:rsidR="00FD4A4F" w:rsidRPr="006F65E2" w:rsidRDefault="00C22DE1" w:rsidP="009F6514">
      <w:pPr>
        <w:autoSpaceDE w:val="0"/>
        <w:autoSpaceDN w:val="0"/>
        <w:adjustRightInd w:val="0"/>
        <w:rPr>
          <w:rFonts w:ascii="Calibri" w:hAnsi="Calibri" w:cs="Calibri"/>
          <w:kern w:val="0"/>
        </w:rPr>
      </w:pPr>
      <w:r w:rsidRPr="006F65E2">
        <w:rPr>
          <w:rFonts w:ascii="Calibri" w:hAnsi="Calibri" w:cs="Calibri"/>
          <w:kern w:val="0"/>
        </w:rPr>
        <w:t xml:space="preserve">To enhance this </w:t>
      </w:r>
      <w:r w:rsidR="00B357A3">
        <w:rPr>
          <w:rFonts w:ascii="Calibri" w:hAnsi="Calibri" w:cs="Calibri"/>
          <w:kern w:val="0"/>
        </w:rPr>
        <w:t xml:space="preserve">CBM </w:t>
      </w:r>
      <w:r w:rsidRPr="006F65E2">
        <w:rPr>
          <w:rFonts w:ascii="Calibri" w:hAnsi="Calibri" w:cs="Calibri"/>
          <w:kern w:val="0"/>
        </w:rPr>
        <w:t xml:space="preserve">software, </w:t>
      </w:r>
      <w:r w:rsidR="00B357A3">
        <w:rPr>
          <w:rFonts w:ascii="Calibri" w:hAnsi="Calibri" w:cs="Calibri"/>
          <w:kern w:val="0"/>
        </w:rPr>
        <w:t xml:space="preserve">I have developed </w:t>
      </w:r>
      <w:r w:rsidRPr="006F65E2">
        <w:rPr>
          <w:rFonts w:ascii="Calibri" w:hAnsi="Calibri" w:cs="Calibri"/>
          <w:kern w:val="0"/>
        </w:rPr>
        <w:t>a new application that emphasizes specific student skill</w:t>
      </w:r>
      <w:r w:rsidR="006F65E2" w:rsidRPr="006F65E2">
        <w:rPr>
          <w:rFonts w:ascii="Calibri" w:hAnsi="Calibri" w:cs="Calibri"/>
          <w:kern w:val="0"/>
        </w:rPr>
        <w:t xml:space="preserve"> development</w:t>
      </w:r>
      <w:r w:rsidRPr="006F65E2">
        <w:rPr>
          <w:rFonts w:ascii="Calibri" w:hAnsi="Calibri" w:cs="Calibri"/>
          <w:kern w:val="0"/>
        </w:rPr>
        <w:t xml:space="preserve"> in reading and math. Whereas </w:t>
      </w:r>
      <w:proofErr w:type="spellStart"/>
      <w:r w:rsidRPr="006F65E2">
        <w:rPr>
          <w:rFonts w:ascii="Calibri" w:hAnsi="Calibri" w:cs="Calibri"/>
          <w:kern w:val="0"/>
          <w:u w:val="single"/>
        </w:rPr>
        <w:t>easyCBM</w:t>
      </w:r>
      <w:proofErr w:type="spellEnd"/>
      <w:r w:rsidR="00677D81" w:rsidRPr="006F65E2">
        <w:rPr>
          <w:rFonts w:ascii="Calibri" w:hAnsi="Calibri" w:cs="Calibri"/>
          <w:kern w:val="0"/>
          <w:u w:val="single"/>
        </w:rPr>
        <w:t>®</w:t>
      </w:r>
      <w:r w:rsidRPr="006F65E2">
        <w:rPr>
          <w:rFonts w:ascii="Calibri" w:hAnsi="Calibri" w:cs="Calibri"/>
          <w:kern w:val="0"/>
        </w:rPr>
        <w:t xml:space="preserve"> provides critical information from a norm-referenced perspective (where students perform relative to </w:t>
      </w:r>
      <w:r w:rsidRPr="00D625A9">
        <w:rPr>
          <w:rFonts w:ascii="Calibri" w:hAnsi="Calibri" w:cs="Calibri"/>
          <w:kern w:val="0"/>
        </w:rPr>
        <w:t>grade</w:t>
      </w:r>
      <w:r w:rsidR="008D2D93" w:rsidRPr="00D625A9">
        <w:rPr>
          <w:rFonts w:ascii="Calibri" w:hAnsi="Calibri" w:cs="Calibri"/>
          <w:kern w:val="0"/>
        </w:rPr>
        <w:t>-</w:t>
      </w:r>
      <w:r w:rsidRPr="00D625A9">
        <w:rPr>
          <w:rFonts w:ascii="Calibri" w:hAnsi="Calibri" w:cs="Calibri"/>
          <w:kern w:val="0"/>
        </w:rPr>
        <w:t xml:space="preserve"> level</w:t>
      </w:r>
      <w:r w:rsidRPr="006F65E2">
        <w:rPr>
          <w:rFonts w:ascii="Calibri" w:hAnsi="Calibri" w:cs="Calibri"/>
          <w:kern w:val="0"/>
        </w:rPr>
        <w:t xml:space="preserve"> peers) and an individual</w:t>
      </w:r>
      <w:r w:rsidR="000479D5">
        <w:rPr>
          <w:rFonts w:ascii="Calibri" w:hAnsi="Calibri" w:cs="Calibri"/>
          <w:kern w:val="0"/>
        </w:rPr>
        <w:t>-</w:t>
      </w:r>
      <w:r w:rsidRPr="006F65E2">
        <w:rPr>
          <w:rFonts w:ascii="Calibri" w:hAnsi="Calibri" w:cs="Calibri"/>
          <w:kern w:val="0"/>
        </w:rPr>
        <w:t xml:space="preserve">referenced perspective (how students change over time relative </w:t>
      </w:r>
      <w:r w:rsidRPr="00D625A9">
        <w:rPr>
          <w:rFonts w:ascii="Calibri" w:hAnsi="Calibri" w:cs="Calibri"/>
          <w:kern w:val="0"/>
        </w:rPr>
        <w:t xml:space="preserve">to </w:t>
      </w:r>
      <w:r w:rsidR="008D2D93" w:rsidRPr="00D625A9">
        <w:rPr>
          <w:rFonts w:ascii="Calibri" w:hAnsi="Calibri" w:cs="Calibri"/>
          <w:kern w:val="0"/>
        </w:rPr>
        <w:t>their own</w:t>
      </w:r>
      <w:r w:rsidR="008D2D93">
        <w:rPr>
          <w:rFonts w:ascii="Calibri" w:hAnsi="Calibri" w:cs="Calibri"/>
          <w:kern w:val="0"/>
        </w:rPr>
        <w:t xml:space="preserve"> </w:t>
      </w:r>
      <w:r w:rsidRPr="006F65E2">
        <w:rPr>
          <w:rFonts w:ascii="Calibri" w:hAnsi="Calibri" w:cs="Calibri"/>
          <w:kern w:val="0"/>
        </w:rPr>
        <w:t xml:space="preserve">previous performance), this new </w:t>
      </w:r>
      <w:r w:rsidR="00AF4748">
        <w:rPr>
          <w:rFonts w:ascii="Calibri" w:hAnsi="Calibri" w:cs="Calibri"/>
          <w:kern w:val="0"/>
        </w:rPr>
        <w:t xml:space="preserve">assessment </w:t>
      </w:r>
      <w:r w:rsidRPr="006F65E2">
        <w:rPr>
          <w:rFonts w:ascii="Calibri" w:hAnsi="Calibri" w:cs="Calibri"/>
          <w:kern w:val="0"/>
        </w:rPr>
        <w:t>software (</w:t>
      </w:r>
      <w:proofErr w:type="spellStart"/>
      <w:r w:rsidRPr="006F65E2">
        <w:rPr>
          <w:rFonts w:ascii="Calibri" w:hAnsi="Calibri" w:cs="Calibri"/>
          <w:kern w:val="0"/>
          <w:u w:val="single"/>
        </w:rPr>
        <w:t>CBMSkills</w:t>
      </w:r>
      <w:proofErr w:type="spellEnd"/>
      <w:r w:rsidR="00677D81" w:rsidRPr="006F65E2">
        <w:rPr>
          <w:rFonts w:ascii="Calibri" w:hAnsi="Calibri" w:cs="Calibri"/>
          <w:kern w:val="0"/>
          <w:u w:val="single"/>
        </w:rPr>
        <w:t>®</w:t>
      </w:r>
      <w:r w:rsidRPr="006F65E2">
        <w:rPr>
          <w:rFonts w:ascii="Calibri" w:hAnsi="Calibri" w:cs="Calibri"/>
          <w:kern w:val="0"/>
        </w:rPr>
        <w:t xml:space="preserve">) </w:t>
      </w:r>
      <w:r w:rsidRPr="00D625A9">
        <w:rPr>
          <w:rFonts w:ascii="Calibri" w:hAnsi="Calibri" w:cs="Calibri"/>
          <w:kern w:val="0"/>
        </w:rPr>
        <w:t xml:space="preserve">provides </w:t>
      </w:r>
      <w:r w:rsidR="008D2D93" w:rsidRPr="00D625A9">
        <w:rPr>
          <w:rFonts w:ascii="Calibri" w:hAnsi="Calibri" w:cs="Calibri"/>
          <w:kern w:val="0"/>
        </w:rPr>
        <w:t xml:space="preserve">students </w:t>
      </w:r>
      <w:r w:rsidRPr="00D625A9">
        <w:rPr>
          <w:rFonts w:ascii="Calibri" w:hAnsi="Calibri" w:cs="Calibri"/>
          <w:kern w:val="0"/>
        </w:rPr>
        <w:t>specific skills in need of instruction and takes advantage of new</w:t>
      </w:r>
      <w:r w:rsidR="00074AD8" w:rsidRPr="00D625A9">
        <w:rPr>
          <w:rFonts w:ascii="Calibri" w:hAnsi="Calibri" w:cs="Calibri"/>
          <w:kern w:val="0"/>
        </w:rPr>
        <w:t xml:space="preserve">, </w:t>
      </w:r>
      <w:r w:rsidRPr="00D625A9">
        <w:rPr>
          <w:rFonts w:ascii="Calibri" w:hAnsi="Calibri" w:cs="Calibri"/>
          <w:kern w:val="0"/>
        </w:rPr>
        <w:t xml:space="preserve">sophisticated testing </w:t>
      </w:r>
      <w:r w:rsidRPr="006F65E2">
        <w:rPr>
          <w:rFonts w:ascii="Calibri" w:hAnsi="Calibri" w:cs="Calibri"/>
          <w:kern w:val="0"/>
        </w:rPr>
        <w:t>and technology practices</w:t>
      </w:r>
      <w:r w:rsidR="00B357A3">
        <w:rPr>
          <w:rFonts w:ascii="Calibri" w:hAnsi="Calibri" w:cs="Calibri"/>
          <w:kern w:val="0"/>
        </w:rPr>
        <w:t xml:space="preserve">. </w:t>
      </w:r>
      <w:r w:rsidR="00FD4A4F" w:rsidRPr="006F65E2">
        <w:rPr>
          <w:rFonts w:ascii="Calibri" w:hAnsi="Calibri" w:cs="Calibri"/>
          <w:kern w:val="0"/>
        </w:rPr>
        <w:t>Using</w:t>
      </w:r>
      <w:r w:rsidRPr="006F65E2">
        <w:rPr>
          <w:rFonts w:ascii="Calibri" w:hAnsi="Calibri" w:cs="Calibri"/>
          <w:kern w:val="0"/>
        </w:rPr>
        <w:t xml:space="preserve"> a computer-adaptive test (CAT)</w:t>
      </w:r>
      <w:r w:rsidR="006F65E2" w:rsidRPr="006F65E2">
        <w:rPr>
          <w:rFonts w:ascii="Calibri" w:hAnsi="Calibri" w:cs="Calibri"/>
          <w:kern w:val="0"/>
        </w:rPr>
        <w:t xml:space="preserve"> and a cognitive diagnostic model (CDM),</w:t>
      </w:r>
      <w:r w:rsidRPr="006F65E2">
        <w:rPr>
          <w:rFonts w:ascii="Calibri" w:hAnsi="Calibri" w:cs="Calibri"/>
          <w:kern w:val="0"/>
        </w:rPr>
        <w:t xml:space="preserve"> students are placed in specific skill modules w</w:t>
      </w:r>
      <w:r w:rsidR="00FD4A4F" w:rsidRPr="006F65E2">
        <w:rPr>
          <w:rFonts w:ascii="Calibri" w:hAnsi="Calibri" w:cs="Calibri"/>
          <w:kern w:val="0"/>
        </w:rPr>
        <w:t xml:space="preserve">here </w:t>
      </w:r>
      <w:r w:rsidR="00FD4A4F" w:rsidRPr="00D625A9">
        <w:rPr>
          <w:rFonts w:ascii="Calibri" w:hAnsi="Calibri" w:cs="Calibri"/>
          <w:kern w:val="0"/>
        </w:rPr>
        <w:t xml:space="preserve">performance is low. </w:t>
      </w:r>
      <w:r w:rsidR="006F65E2" w:rsidRPr="006F65E2">
        <w:rPr>
          <w:rFonts w:ascii="Calibri" w:hAnsi="Calibri" w:cs="Calibri"/>
          <w:kern w:val="0"/>
        </w:rPr>
        <w:t xml:space="preserve">Then, repeated practice and feedback </w:t>
      </w:r>
      <w:r w:rsidR="008D2D93" w:rsidRPr="00D625A9">
        <w:rPr>
          <w:rFonts w:ascii="Calibri" w:hAnsi="Calibri" w:cs="Calibri"/>
          <w:kern w:val="0"/>
        </w:rPr>
        <w:t>are</w:t>
      </w:r>
      <w:r w:rsidR="006F65E2" w:rsidRPr="006F65E2">
        <w:rPr>
          <w:rFonts w:ascii="Calibri" w:hAnsi="Calibri" w:cs="Calibri"/>
          <w:kern w:val="0"/>
        </w:rPr>
        <w:t xml:space="preserve"> provided from within the software, including oral reading fluency (ORF), which is one of the most critical reading </w:t>
      </w:r>
      <w:r w:rsidR="006F65E2" w:rsidRPr="00D625A9">
        <w:rPr>
          <w:rFonts w:ascii="Calibri" w:hAnsi="Calibri" w:cs="Calibri"/>
          <w:kern w:val="0"/>
        </w:rPr>
        <w:t>skills</w:t>
      </w:r>
      <w:r w:rsidR="008D2D93" w:rsidRPr="00D625A9">
        <w:rPr>
          <w:rFonts w:ascii="Calibri" w:hAnsi="Calibri" w:cs="Calibri"/>
          <w:kern w:val="0"/>
        </w:rPr>
        <w:t xml:space="preserve"> and a strong predictor of reading comprehension</w:t>
      </w:r>
      <w:r w:rsidR="006F65E2" w:rsidRPr="00D625A9">
        <w:rPr>
          <w:rFonts w:ascii="Calibri" w:hAnsi="Calibri" w:cs="Calibri"/>
          <w:kern w:val="0"/>
        </w:rPr>
        <w:t>.</w:t>
      </w:r>
      <w:r w:rsidR="006F65E2" w:rsidRPr="006F65E2">
        <w:rPr>
          <w:rFonts w:ascii="Calibri" w:hAnsi="Calibri" w:cs="Calibri"/>
          <w:kern w:val="0"/>
        </w:rPr>
        <w:t xml:space="preserve"> In the future, this software will be used to collect and analyze common error patterns using artificial intelligence (AI)</w:t>
      </w:r>
      <w:r w:rsidR="00074AD8" w:rsidRPr="006F65E2">
        <w:rPr>
          <w:rFonts w:ascii="Calibri" w:hAnsi="Calibri" w:cs="Calibri"/>
          <w:kern w:val="0"/>
        </w:rPr>
        <w:t xml:space="preserve">. </w:t>
      </w:r>
      <w:r w:rsidR="00677D81" w:rsidRPr="006F65E2">
        <w:rPr>
          <w:rFonts w:ascii="Calibri" w:hAnsi="Calibri" w:cs="Calibri"/>
          <w:kern w:val="0"/>
        </w:rPr>
        <w:t xml:space="preserve">This </w:t>
      </w:r>
      <w:r w:rsidR="00AF4748">
        <w:rPr>
          <w:rFonts w:ascii="Calibri" w:hAnsi="Calibri" w:cs="Calibri"/>
          <w:kern w:val="0"/>
        </w:rPr>
        <w:t xml:space="preserve">free software </w:t>
      </w:r>
      <w:r w:rsidR="00074AD8" w:rsidRPr="006F65E2">
        <w:rPr>
          <w:rFonts w:ascii="Calibri" w:hAnsi="Calibri" w:cs="Calibri"/>
          <w:kern w:val="0"/>
        </w:rPr>
        <w:t xml:space="preserve">is </w:t>
      </w:r>
      <w:r w:rsidR="00677D81" w:rsidRPr="006F65E2">
        <w:rPr>
          <w:rFonts w:ascii="Calibri" w:hAnsi="Calibri" w:cs="Calibri"/>
          <w:kern w:val="0"/>
        </w:rPr>
        <w:t xml:space="preserve">currently </w:t>
      </w:r>
      <w:r w:rsidR="00AF4748">
        <w:rPr>
          <w:rFonts w:ascii="Calibri" w:hAnsi="Calibri" w:cs="Calibri"/>
          <w:kern w:val="0"/>
        </w:rPr>
        <w:t>registered with</w:t>
      </w:r>
      <w:r w:rsidR="000479D5">
        <w:rPr>
          <w:rFonts w:ascii="Calibri" w:hAnsi="Calibri" w:cs="Calibri"/>
          <w:kern w:val="0"/>
        </w:rPr>
        <w:t xml:space="preserve"> </w:t>
      </w:r>
      <w:r w:rsidR="00677D81" w:rsidRPr="006F65E2">
        <w:rPr>
          <w:rFonts w:ascii="Calibri" w:hAnsi="Calibri" w:cs="Calibri"/>
          <w:kern w:val="0"/>
        </w:rPr>
        <w:t>25,000</w:t>
      </w:r>
      <w:r w:rsidR="00AF4748">
        <w:rPr>
          <w:rFonts w:ascii="Calibri" w:hAnsi="Calibri" w:cs="Calibri"/>
          <w:kern w:val="0"/>
        </w:rPr>
        <w:t>+</w:t>
      </w:r>
      <w:r w:rsidR="00677D81" w:rsidRPr="006F65E2">
        <w:rPr>
          <w:rFonts w:ascii="Calibri" w:hAnsi="Calibri" w:cs="Calibri"/>
          <w:kern w:val="0"/>
        </w:rPr>
        <w:t xml:space="preserve"> teachers </w:t>
      </w:r>
      <w:r w:rsidR="00FE43B6">
        <w:rPr>
          <w:rFonts w:ascii="Calibri" w:hAnsi="Calibri" w:cs="Calibri"/>
          <w:kern w:val="0"/>
        </w:rPr>
        <w:t xml:space="preserve">and students </w:t>
      </w:r>
      <w:r w:rsidR="006F65E2" w:rsidRPr="006F65E2">
        <w:rPr>
          <w:rFonts w:ascii="Calibri" w:hAnsi="Calibri" w:cs="Calibri"/>
          <w:kern w:val="0"/>
        </w:rPr>
        <w:t>in</w:t>
      </w:r>
      <w:r w:rsidR="00677D81" w:rsidRPr="006F65E2">
        <w:rPr>
          <w:rFonts w:ascii="Calibri" w:hAnsi="Calibri" w:cs="Calibri"/>
          <w:kern w:val="0"/>
        </w:rPr>
        <w:t xml:space="preserve"> Grades K</w:t>
      </w:r>
      <w:r w:rsidR="006F65E2" w:rsidRPr="006F65E2">
        <w:rPr>
          <w:rFonts w:ascii="Calibri" w:hAnsi="Calibri" w:cs="Calibri"/>
          <w:kern w:val="0"/>
        </w:rPr>
        <w:t>indergarten through Grade</w:t>
      </w:r>
      <w:r w:rsidR="00677D81" w:rsidRPr="006F65E2">
        <w:rPr>
          <w:rFonts w:ascii="Calibri" w:hAnsi="Calibri" w:cs="Calibri"/>
          <w:kern w:val="0"/>
        </w:rPr>
        <w:t xml:space="preserve"> 5.</w:t>
      </w:r>
      <w:r w:rsidR="00AF4748">
        <w:rPr>
          <w:rFonts w:ascii="Calibri" w:hAnsi="Calibri" w:cs="Calibri"/>
          <w:kern w:val="0"/>
        </w:rPr>
        <w:t xml:space="preserve"> S</w:t>
      </w:r>
      <w:r w:rsidR="00AF4748" w:rsidRPr="006F65E2">
        <w:rPr>
          <w:rFonts w:ascii="Calibri" w:hAnsi="Calibri" w:cs="Calibri"/>
          <w:kern w:val="0"/>
        </w:rPr>
        <w:t xml:space="preserve">ee </w:t>
      </w:r>
      <w:hyperlink r:id="rId9" w:history="1">
        <w:r w:rsidR="00AF4748" w:rsidRPr="006F65E2">
          <w:rPr>
            <w:rStyle w:val="Hyperlink"/>
            <w:rFonts w:ascii="Calibri" w:hAnsi="Calibri" w:cs="Calibri"/>
            <w:kern w:val="0"/>
          </w:rPr>
          <w:t>https://CBMSkills.com</w:t>
        </w:r>
      </w:hyperlink>
      <w:r w:rsidR="00AF4748" w:rsidRPr="006F65E2">
        <w:rPr>
          <w:rFonts w:ascii="Calibri" w:hAnsi="Calibri" w:cs="Calibri"/>
          <w:kern w:val="0"/>
        </w:rPr>
        <w:t>.</w:t>
      </w:r>
    </w:p>
    <w:p w14:paraId="2E54EB78" w14:textId="77777777" w:rsidR="00FD4A4F" w:rsidRPr="006F65E2" w:rsidRDefault="00FD4A4F" w:rsidP="009F6514">
      <w:pPr>
        <w:autoSpaceDE w:val="0"/>
        <w:autoSpaceDN w:val="0"/>
        <w:adjustRightInd w:val="0"/>
        <w:rPr>
          <w:rFonts w:ascii="Calibri" w:hAnsi="Calibri" w:cs="Calibri"/>
          <w:kern w:val="0"/>
        </w:rPr>
      </w:pPr>
    </w:p>
    <w:p w14:paraId="3C5C8DBE" w14:textId="66C92E86" w:rsidR="00C22DE1" w:rsidRPr="006F65E2" w:rsidRDefault="004F30F3" w:rsidP="009F6514">
      <w:pPr>
        <w:autoSpaceDE w:val="0"/>
        <w:autoSpaceDN w:val="0"/>
        <w:adjustRightInd w:val="0"/>
        <w:rPr>
          <w:rFonts w:ascii="Calibri" w:hAnsi="Calibri" w:cs="Calibri"/>
          <w:kern w:val="0"/>
        </w:rPr>
      </w:pPr>
      <w:r w:rsidRPr="006F65E2">
        <w:rPr>
          <w:rFonts w:ascii="Calibri" w:hAnsi="Calibri" w:cs="Calibri"/>
          <w:kern w:val="0"/>
        </w:rPr>
        <w:t>T</w:t>
      </w:r>
      <w:r w:rsidR="00FD4A4F" w:rsidRPr="006F65E2">
        <w:rPr>
          <w:rFonts w:ascii="Calibri" w:hAnsi="Calibri" w:cs="Calibri"/>
          <w:kern w:val="0"/>
        </w:rPr>
        <w:t xml:space="preserve">he last </w:t>
      </w:r>
      <w:r w:rsidR="00AF4748">
        <w:rPr>
          <w:rFonts w:ascii="Calibri" w:hAnsi="Calibri" w:cs="Calibri"/>
          <w:kern w:val="0"/>
        </w:rPr>
        <w:t xml:space="preserve">assessment </w:t>
      </w:r>
      <w:r w:rsidR="006F65E2" w:rsidRPr="006F65E2">
        <w:rPr>
          <w:rFonts w:ascii="Calibri" w:hAnsi="Calibri" w:cs="Calibri"/>
          <w:kern w:val="0"/>
        </w:rPr>
        <w:t xml:space="preserve">software </w:t>
      </w:r>
      <w:r w:rsidR="00B357A3">
        <w:rPr>
          <w:rFonts w:ascii="Calibri" w:hAnsi="Calibri" w:cs="Calibri"/>
          <w:kern w:val="0"/>
        </w:rPr>
        <w:t>in the CBM Suite that</w:t>
      </w:r>
      <w:r w:rsidR="00FD4A4F" w:rsidRPr="006F65E2">
        <w:rPr>
          <w:rFonts w:ascii="Calibri" w:hAnsi="Calibri" w:cs="Calibri"/>
          <w:kern w:val="0"/>
        </w:rPr>
        <w:t xml:space="preserve"> I have developed focuse</w:t>
      </w:r>
      <w:r w:rsidR="00074AD8" w:rsidRPr="006F65E2">
        <w:rPr>
          <w:rFonts w:ascii="Calibri" w:hAnsi="Calibri" w:cs="Calibri"/>
          <w:kern w:val="0"/>
        </w:rPr>
        <w:t>s</w:t>
      </w:r>
      <w:r w:rsidR="00FD4A4F" w:rsidRPr="006F65E2">
        <w:rPr>
          <w:rFonts w:ascii="Calibri" w:hAnsi="Calibri" w:cs="Calibri"/>
          <w:kern w:val="0"/>
        </w:rPr>
        <w:t xml:space="preserve"> on writing for students in Grades 5-12</w:t>
      </w:r>
      <w:r w:rsidR="00B357A3">
        <w:rPr>
          <w:rFonts w:ascii="Calibri" w:hAnsi="Calibri" w:cs="Calibri"/>
          <w:kern w:val="0"/>
        </w:rPr>
        <w:t xml:space="preserve">: </w:t>
      </w:r>
      <w:proofErr w:type="spellStart"/>
      <w:r w:rsidR="00FD4A4F" w:rsidRPr="006F65E2">
        <w:rPr>
          <w:rFonts w:ascii="Calibri" w:hAnsi="Calibri" w:cs="Calibri"/>
          <w:kern w:val="0"/>
        </w:rPr>
        <w:t>WriteRightNow</w:t>
      </w:r>
      <w:proofErr w:type="spellEnd"/>
      <w:r w:rsidR="00677D81" w:rsidRPr="006F65E2">
        <w:rPr>
          <w:rFonts w:ascii="Calibri" w:hAnsi="Calibri" w:cs="Calibri"/>
          <w:kern w:val="0"/>
        </w:rPr>
        <w:t>®</w:t>
      </w:r>
      <w:r w:rsidR="00FD4A4F" w:rsidRPr="006F65E2">
        <w:rPr>
          <w:rFonts w:ascii="Calibri" w:hAnsi="Calibri" w:cs="Calibri"/>
          <w:kern w:val="0"/>
        </w:rPr>
        <w:t xml:space="preserve"> provides teachers a writing evaluation system for </w:t>
      </w:r>
      <w:r w:rsidR="000479D5">
        <w:rPr>
          <w:rFonts w:ascii="Calibri" w:hAnsi="Calibri" w:cs="Calibri"/>
          <w:kern w:val="0"/>
        </w:rPr>
        <w:t xml:space="preserve">generating and evaluating </w:t>
      </w:r>
      <w:r w:rsidR="00FD4A4F" w:rsidRPr="006F65E2">
        <w:rPr>
          <w:rFonts w:ascii="Calibri" w:hAnsi="Calibri" w:cs="Calibri"/>
          <w:kern w:val="0"/>
        </w:rPr>
        <w:t xml:space="preserve">narrative, informative, and argumentative </w:t>
      </w:r>
      <w:r w:rsidR="006F65E2" w:rsidRPr="006F65E2">
        <w:rPr>
          <w:rFonts w:ascii="Calibri" w:hAnsi="Calibri" w:cs="Calibri"/>
          <w:kern w:val="0"/>
        </w:rPr>
        <w:t>text</w:t>
      </w:r>
      <w:r w:rsidR="00FD4A4F" w:rsidRPr="006F65E2">
        <w:rPr>
          <w:rFonts w:ascii="Calibri" w:hAnsi="Calibri" w:cs="Calibri"/>
          <w:kern w:val="0"/>
        </w:rPr>
        <w:t xml:space="preserve"> and hosts several best practices: a library of </w:t>
      </w:r>
      <w:r w:rsidR="008D2D93" w:rsidRPr="00D625A9">
        <w:rPr>
          <w:rFonts w:ascii="Calibri" w:hAnsi="Calibri" w:cs="Calibri"/>
          <w:kern w:val="0"/>
        </w:rPr>
        <w:t>instructional</w:t>
      </w:r>
      <w:r w:rsidR="008D2D93">
        <w:rPr>
          <w:rFonts w:ascii="Calibri" w:hAnsi="Calibri" w:cs="Calibri"/>
          <w:kern w:val="0"/>
        </w:rPr>
        <w:t xml:space="preserve"> </w:t>
      </w:r>
      <w:r w:rsidR="00FD4A4F" w:rsidRPr="006F65E2">
        <w:rPr>
          <w:rFonts w:ascii="Calibri" w:hAnsi="Calibri" w:cs="Calibri"/>
          <w:kern w:val="0"/>
        </w:rPr>
        <w:t xml:space="preserve">prompts and feedback, </w:t>
      </w:r>
      <w:r w:rsidR="006F65E2" w:rsidRPr="006F65E2">
        <w:rPr>
          <w:rFonts w:ascii="Calibri" w:hAnsi="Calibri" w:cs="Calibri"/>
          <w:kern w:val="0"/>
        </w:rPr>
        <w:t xml:space="preserve">monitoring writing production, </w:t>
      </w:r>
      <w:r w:rsidR="00FD4A4F" w:rsidRPr="006F65E2">
        <w:rPr>
          <w:rFonts w:ascii="Calibri" w:hAnsi="Calibri" w:cs="Calibri"/>
          <w:kern w:val="0"/>
        </w:rPr>
        <w:t>teacher collaboration to integrate students with special needs in</w:t>
      </w:r>
      <w:r w:rsidR="006F65E2" w:rsidRPr="006F65E2">
        <w:rPr>
          <w:rFonts w:ascii="Calibri" w:hAnsi="Calibri" w:cs="Calibri"/>
          <w:kern w:val="0"/>
        </w:rPr>
        <w:t>to</w:t>
      </w:r>
      <w:r w:rsidR="00FD4A4F" w:rsidRPr="006F65E2">
        <w:rPr>
          <w:rFonts w:ascii="Calibri" w:hAnsi="Calibri" w:cs="Calibri"/>
          <w:kern w:val="0"/>
        </w:rPr>
        <w:t xml:space="preserve"> content </w:t>
      </w:r>
      <w:r w:rsidR="006F65E2" w:rsidRPr="006F65E2">
        <w:rPr>
          <w:rFonts w:ascii="Calibri" w:hAnsi="Calibri" w:cs="Calibri"/>
          <w:kern w:val="0"/>
        </w:rPr>
        <w:t xml:space="preserve">classes in </w:t>
      </w:r>
      <w:r w:rsidR="00FD4A4F" w:rsidRPr="006F65E2">
        <w:rPr>
          <w:rFonts w:ascii="Calibri" w:hAnsi="Calibri" w:cs="Calibri"/>
          <w:kern w:val="0"/>
        </w:rPr>
        <w:t>middle and high school</w:t>
      </w:r>
      <w:r w:rsidR="006F65E2" w:rsidRPr="006F65E2">
        <w:rPr>
          <w:rFonts w:ascii="Calibri" w:hAnsi="Calibri" w:cs="Calibri"/>
          <w:kern w:val="0"/>
        </w:rPr>
        <w:t>s</w:t>
      </w:r>
      <w:r w:rsidR="00FD4A4F" w:rsidRPr="006F65E2">
        <w:rPr>
          <w:rFonts w:ascii="Calibri" w:hAnsi="Calibri" w:cs="Calibri"/>
          <w:kern w:val="0"/>
        </w:rPr>
        <w:t xml:space="preserve">, student peer editing, </w:t>
      </w:r>
      <w:r w:rsidR="000479D5">
        <w:rPr>
          <w:rFonts w:ascii="Calibri" w:hAnsi="Calibri" w:cs="Calibri"/>
          <w:kern w:val="0"/>
        </w:rPr>
        <w:t xml:space="preserve">exemplar student samples, </w:t>
      </w:r>
      <w:r w:rsidR="00074AD8" w:rsidRPr="006F65E2">
        <w:rPr>
          <w:rFonts w:ascii="Calibri" w:hAnsi="Calibri" w:cs="Calibri"/>
          <w:kern w:val="0"/>
        </w:rPr>
        <w:t xml:space="preserve">automatic scoring, </w:t>
      </w:r>
      <w:r w:rsidR="00FD4A4F" w:rsidRPr="006F65E2">
        <w:rPr>
          <w:rFonts w:ascii="Calibri" w:hAnsi="Calibri" w:cs="Calibri"/>
          <w:kern w:val="0"/>
        </w:rPr>
        <w:t>and graphic displays of performance</w:t>
      </w:r>
      <w:r w:rsidR="006F65E2" w:rsidRPr="006F65E2">
        <w:rPr>
          <w:rFonts w:ascii="Calibri" w:hAnsi="Calibri" w:cs="Calibri"/>
          <w:kern w:val="0"/>
        </w:rPr>
        <w:t xml:space="preserve"> and progress</w:t>
      </w:r>
      <w:r w:rsidR="00FD4A4F" w:rsidRPr="00D625A9">
        <w:rPr>
          <w:rFonts w:ascii="Calibri" w:hAnsi="Calibri" w:cs="Calibri"/>
          <w:kern w:val="0"/>
        </w:rPr>
        <w:t xml:space="preserve">. </w:t>
      </w:r>
      <w:r w:rsidR="00677D81" w:rsidRPr="006F65E2">
        <w:rPr>
          <w:rFonts w:ascii="Calibri" w:hAnsi="Calibri" w:cs="Calibri"/>
          <w:kern w:val="0"/>
        </w:rPr>
        <w:t xml:space="preserve">This </w:t>
      </w:r>
      <w:r w:rsidR="00AF4748">
        <w:rPr>
          <w:rFonts w:ascii="Calibri" w:hAnsi="Calibri" w:cs="Calibri"/>
          <w:kern w:val="0"/>
        </w:rPr>
        <w:t xml:space="preserve">assessment </w:t>
      </w:r>
      <w:r w:rsidR="00677D81" w:rsidRPr="006F65E2">
        <w:rPr>
          <w:rFonts w:ascii="Calibri" w:hAnsi="Calibri" w:cs="Calibri"/>
          <w:kern w:val="0"/>
        </w:rPr>
        <w:t xml:space="preserve">system </w:t>
      </w:r>
      <w:r w:rsidR="00074AD8" w:rsidRPr="006F65E2">
        <w:rPr>
          <w:rFonts w:ascii="Calibri" w:hAnsi="Calibri" w:cs="Calibri"/>
          <w:kern w:val="0"/>
        </w:rPr>
        <w:t xml:space="preserve">has a free version with most features and a Deluxe version for a modest price: Currently, </w:t>
      </w:r>
      <w:r w:rsidR="00677D81" w:rsidRPr="006F65E2">
        <w:rPr>
          <w:rFonts w:ascii="Calibri" w:hAnsi="Calibri" w:cs="Calibri"/>
          <w:kern w:val="0"/>
        </w:rPr>
        <w:t xml:space="preserve">about </w:t>
      </w:r>
      <w:r w:rsidR="00FE43B6">
        <w:rPr>
          <w:rFonts w:ascii="Calibri" w:hAnsi="Calibri" w:cs="Calibri"/>
          <w:kern w:val="0"/>
        </w:rPr>
        <w:t>6</w:t>
      </w:r>
      <w:r w:rsidR="00677D81" w:rsidRPr="006F65E2">
        <w:rPr>
          <w:rFonts w:ascii="Calibri" w:hAnsi="Calibri" w:cs="Calibri"/>
          <w:kern w:val="0"/>
        </w:rPr>
        <w:t>,000 teachers us</w:t>
      </w:r>
      <w:r w:rsidR="00074AD8" w:rsidRPr="006F65E2">
        <w:rPr>
          <w:rFonts w:ascii="Calibri" w:hAnsi="Calibri" w:cs="Calibri"/>
          <w:kern w:val="0"/>
        </w:rPr>
        <w:t>e</w:t>
      </w:r>
      <w:r w:rsidR="00677D81" w:rsidRPr="006F65E2">
        <w:rPr>
          <w:rFonts w:ascii="Calibri" w:hAnsi="Calibri" w:cs="Calibri"/>
          <w:kern w:val="0"/>
        </w:rPr>
        <w:t xml:space="preserve"> it with over </w:t>
      </w:r>
      <w:r w:rsidR="006F65E2" w:rsidRPr="006F65E2">
        <w:rPr>
          <w:rFonts w:ascii="Calibri" w:hAnsi="Calibri" w:cs="Calibri"/>
          <w:kern w:val="0"/>
        </w:rPr>
        <w:t>12</w:t>
      </w:r>
      <w:r w:rsidR="00677D81" w:rsidRPr="006F65E2">
        <w:rPr>
          <w:rFonts w:ascii="Calibri" w:hAnsi="Calibri" w:cs="Calibri"/>
          <w:kern w:val="0"/>
        </w:rPr>
        <w:t>,000 students.</w:t>
      </w:r>
      <w:r w:rsidR="00AF4748">
        <w:rPr>
          <w:rFonts w:ascii="Calibri" w:hAnsi="Calibri" w:cs="Calibri"/>
          <w:kern w:val="0"/>
        </w:rPr>
        <w:t xml:space="preserve"> </w:t>
      </w:r>
      <w:r w:rsidR="00AF4748" w:rsidRPr="00D625A9">
        <w:rPr>
          <w:rFonts w:ascii="Calibri" w:hAnsi="Calibri" w:cs="Calibri"/>
          <w:kern w:val="0"/>
        </w:rPr>
        <w:t xml:space="preserve">See </w:t>
      </w:r>
      <w:hyperlink r:id="rId10" w:history="1">
        <w:r w:rsidR="00AF4748" w:rsidRPr="00D625A9">
          <w:rPr>
            <w:rStyle w:val="Hyperlink"/>
            <w:rFonts w:ascii="Calibri" w:hAnsi="Calibri" w:cs="Calibri"/>
            <w:kern w:val="0"/>
          </w:rPr>
          <w:t>https://writerightnow.com</w:t>
        </w:r>
      </w:hyperlink>
      <w:r w:rsidR="00AF4748" w:rsidRPr="00D625A9">
        <w:rPr>
          <w:rFonts w:ascii="Calibri" w:hAnsi="Calibri" w:cs="Calibri"/>
          <w:kern w:val="0"/>
        </w:rPr>
        <w:t>.</w:t>
      </w:r>
    </w:p>
    <w:p w14:paraId="5F12EE79" w14:textId="77777777" w:rsidR="009F6514" w:rsidRPr="006F65E2" w:rsidRDefault="009F6514" w:rsidP="009F6514">
      <w:pPr>
        <w:autoSpaceDE w:val="0"/>
        <w:autoSpaceDN w:val="0"/>
        <w:adjustRightInd w:val="0"/>
        <w:rPr>
          <w:rFonts w:ascii="Calibri" w:hAnsi="Calibri" w:cs="Calibri"/>
          <w:kern w:val="0"/>
        </w:rPr>
      </w:pPr>
    </w:p>
    <w:p w14:paraId="5470B22D" w14:textId="2DF351B8" w:rsidR="00464E18" w:rsidRDefault="00464E18" w:rsidP="009F6514">
      <w:pPr>
        <w:autoSpaceDE w:val="0"/>
        <w:autoSpaceDN w:val="0"/>
        <w:adjustRightInd w:val="0"/>
        <w:rPr>
          <w:rFonts w:ascii="Calibri" w:hAnsi="Calibri" w:cs="Calibri"/>
          <w:iCs/>
          <w:kern w:val="0"/>
        </w:rPr>
      </w:pPr>
      <w:r>
        <w:rPr>
          <w:rFonts w:ascii="Calibri" w:hAnsi="Calibri" w:cs="Calibri"/>
          <w:iCs/>
          <w:kern w:val="0"/>
        </w:rPr>
        <w:t xml:space="preserve">Finally, I have developed </w:t>
      </w:r>
      <w:r w:rsidR="00AF4748">
        <w:rPr>
          <w:rFonts w:ascii="Calibri" w:hAnsi="Calibri" w:cs="Calibri"/>
          <w:iCs/>
          <w:kern w:val="0"/>
        </w:rPr>
        <w:t xml:space="preserve">assessment </w:t>
      </w:r>
      <w:r>
        <w:rPr>
          <w:rFonts w:ascii="Calibri" w:hAnsi="Calibri" w:cs="Calibri"/>
          <w:iCs/>
          <w:kern w:val="0"/>
        </w:rPr>
        <w:t xml:space="preserve">software for students </w:t>
      </w:r>
      <w:r w:rsidR="009B296D">
        <w:rPr>
          <w:rFonts w:ascii="Calibri" w:hAnsi="Calibri" w:cs="Calibri"/>
          <w:iCs/>
          <w:kern w:val="0"/>
        </w:rPr>
        <w:t>with</w:t>
      </w:r>
      <w:r>
        <w:rPr>
          <w:rFonts w:ascii="Calibri" w:hAnsi="Calibri" w:cs="Calibri"/>
          <w:iCs/>
          <w:kern w:val="0"/>
        </w:rPr>
        <w:t xml:space="preserve"> </w:t>
      </w:r>
      <w:r w:rsidR="009B296D">
        <w:rPr>
          <w:rFonts w:ascii="Calibri" w:hAnsi="Calibri" w:cs="Calibri"/>
          <w:iCs/>
          <w:kern w:val="0"/>
        </w:rPr>
        <w:t xml:space="preserve">the </w:t>
      </w:r>
      <w:r>
        <w:rPr>
          <w:rFonts w:ascii="Calibri" w:hAnsi="Calibri" w:cs="Calibri"/>
          <w:iCs/>
          <w:kern w:val="0"/>
        </w:rPr>
        <w:t xml:space="preserve">most significant cognitive disabilities to assess their emerging communication and academic skills. This software responds to state </w:t>
      </w:r>
      <w:r w:rsidR="00B357A3">
        <w:rPr>
          <w:rFonts w:ascii="Calibri" w:hAnsi="Calibri" w:cs="Calibri"/>
          <w:iCs/>
          <w:kern w:val="0"/>
        </w:rPr>
        <w:t>requirements</w:t>
      </w:r>
      <w:r>
        <w:rPr>
          <w:rFonts w:ascii="Calibri" w:hAnsi="Calibri" w:cs="Calibri"/>
          <w:iCs/>
          <w:kern w:val="0"/>
        </w:rPr>
        <w:t xml:space="preserve"> for including this population in their federally mandated accountability programs.</w:t>
      </w:r>
      <w:r w:rsidR="009B296D">
        <w:rPr>
          <w:rFonts w:ascii="Calibri" w:hAnsi="Calibri" w:cs="Calibri"/>
          <w:iCs/>
          <w:kern w:val="0"/>
        </w:rPr>
        <w:t xml:space="preserve"> Given the fragile skill development with these students and the presence of multiple interfering behaviors, the software can be flexibly used by teachers to ensure measurement is construct relevant and reflective of the standards for testing. Currently, every special education teacher (1,700+) in Oregon relies on this software annually to assess approximately 5,000 students. In Virgina, a derivative of this software (Distributed Item Review) allows every special education teacher (approximately 5,500) to </w:t>
      </w:r>
      <w:r w:rsidR="00AF4748">
        <w:rPr>
          <w:rFonts w:ascii="Calibri" w:hAnsi="Calibri" w:cs="Calibri"/>
          <w:iCs/>
          <w:kern w:val="0"/>
        </w:rPr>
        <w:t>use appropriate</w:t>
      </w:r>
      <w:r w:rsidR="009B296D">
        <w:rPr>
          <w:rFonts w:ascii="Calibri" w:hAnsi="Calibri" w:cs="Calibri"/>
          <w:iCs/>
          <w:kern w:val="0"/>
        </w:rPr>
        <w:t xml:space="preserve"> measures for students with the most significant cognitive disabilities in the state (10,000+).</w:t>
      </w:r>
      <w:r w:rsidR="00AF4748">
        <w:rPr>
          <w:rFonts w:ascii="Calibri" w:hAnsi="Calibri" w:cs="Calibri"/>
          <w:iCs/>
          <w:kern w:val="0"/>
        </w:rPr>
        <w:t xml:space="preserve"> See </w:t>
      </w:r>
      <w:hyperlink r:id="rId11" w:history="1">
        <w:r w:rsidR="00AF4748" w:rsidRPr="007A44AE">
          <w:rPr>
            <w:rStyle w:val="Hyperlink"/>
            <w:rFonts w:ascii="Calibri" w:hAnsi="Calibri" w:cs="Calibri"/>
            <w:iCs/>
            <w:kern w:val="0"/>
          </w:rPr>
          <w:t>https://k12test.com</w:t>
        </w:r>
      </w:hyperlink>
      <w:r w:rsidR="00AF4748">
        <w:rPr>
          <w:rFonts w:ascii="Calibri" w:hAnsi="Calibri" w:cs="Calibri"/>
          <w:iCs/>
          <w:kern w:val="0"/>
        </w:rPr>
        <w:t>.</w:t>
      </w:r>
    </w:p>
    <w:p w14:paraId="058DEE6A" w14:textId="77777777" w:rsidR="00464E18" w:rsidRPr="00464E18" w:rsidRDefault="00464E18" w:rsidP="009F6514">
      <w:pPr>
        <w:autoSpaceDE w:val="0"/>
        <w:autoSpaceDN w:val="0"/>
        <w:adjustRightInd w:val="0"/>
        <w:rPr>
          <w:rFonts w:ascii="Calibri" w:hAnsi="Calibri" w:cs="Calibri"/>
          <w:iCs/>
          <w:kern w:val="0"/>
        </w:rPr>
      </w:pPr>
    </w:p>
    <w:p w14:paraId="1A3306A3" w14:textId="6F04DD17" w:rsidR="009304C1" w:rsidRPr="006F65E2" w:rsidRDefault="00DA4A1A" w:rsidP="009F6514">
      <w:pPr>
        <w:autoSpaceDE w:val="0"/>
        <w:autoSpaceDN w:val="0"/>
        <w:adjustRightInd w:val="0"/>
        <w:rPr>
          <w:rFonts w:ascii="Calibri" w:hAnsi="Calibri" w:cs="Calibri"/>
          <w:kern w:val="0"/>
        </w:rPr>
      </w:pPr>
      <w:r>
        <w:rPr>
          <w:rFonts w:ascii="Calibri" w:hAnsi="Calibri" w:cs="Calibri"/>
          <w:i/>
          <w:iCs/>
          <w:kern w:val="0"/>
        </w:rPr>
        <w:t>The</w:t>
      </w:r>
      <w:r w:rsidR="00D625A9" w:rsidRPr="00D625A9">
        <w:rPr>
          <w:rFonts w:ascii="Calibri" w:hAnsi="Calibri" w:cs="Calibri"/>
          <w:i/>
          <w:iCs/>
          <w:kern w:val="0"/>
        </w:rPr>
        <w:t xml:space="preserve"> Enterprise o</w:t>
      </w:r>
      <w:r w:rsidR="00AF4748">
        <w:rPr>
          <w:rFonts w:ascii="Calibri" w:hAnsi="Calibri" w:cs="Calibri"/>
          <w:i/>
          <w:iCs/>
          <w:kern w:val="0"/>
        </w:rPr>
        <w:t>f</w:t>
      </w:r>
      <w:r w:rsidR="00D625A9" w:rsidRPr="00D625A9">
        <w:rPr>
          <w:rFonts w:ascii="Calibri" w:hAnsi="Calibri" w:cs="Calibri"/>
          <w:i/>
          <w:iCs/>
          <w:kern w:val="0"/>
        </w:rPr>
        <w:t xml:space="preserve"> Innovation</w:t>
      </w:r>
      <w:r w:rsidR="00677D81" w:rsidRPr="00D625A9">
        <w:rPr>
          <w:rFonts w:ascii="Calibri" w:hAnsi="Calibri" w:cs="Calibri"/>
          <w:kern w:val="0"/>
        </w:rPr>
        <w:t xml:space="preserve">. </w:t>
      </w:r>
      <w:r w:rsidR="009F6514" w:rsidRPr="006F65E2">
        <w:rPr>
          <w:rFonts w:ascii="Calibri" w:hAnsi="Calibri" w:cs="Calibri"/>
          <w:kern w:val="0"/>
        </w:rPr>
        <w:t xml:space="preserve">Finally, the economics of both science and practice has a financial overlord, ruled by legislative and free market systems that can only be </w:t>
      </w:r>
      <w:r w:rsidR="006F65E2" w:rsidRPr="006F65E2">
        <w:rPr>
          <w:rFonts w:ascii="Calibri" w:hAnsi="Calibri" w:cs="Calibri"/>
          <w:kern w:val="0"/>
        </w:rPr>
        <w:t>addressed</w:t>
      </w:r>
      <w:r w:rsidR="009F6514" w:rsidRPr="006F65E2">
        <w:rPr>
          <w:rFonts w:ascii="Calibri" w:hAnsi="Calibri" w:cs="Calibri"/>
          <w:kern w:val="0"/>
        </w:rPr>
        <w:t xml:space="preserve"> by a single focus: Follow the money</w:t>
      </w:r>
      <w:r w:rsidR="006F65E2" w:rsidRPr="006F65E2">
        <w:rPr>
          <w:rFonts w:ascii="Calibri" w:hAnsi="Calibri" w:cs="Calibri"/>
          <w:kern w:val="0"/>
        </w:rPr>
        <w:t xml:space="preserve">. An important component of </w:t>
      </w:r>
      <w:r w:rsidR="00464E18">
        <w:rPr>
          <w:rFonts w:ascii="Calibri" w:hAnsi="Calibri" w:cs="Calibri"/>
          <w:kern w:val="0"/>
        </w:rPr>
        <w:t>innovation</w:t>
      </w:r>
      <w:r w:rsidR="006F65E2" w:rsidRPr="006F65E2">
        <w:rPr>
          <w:rFonts w:ascii="Calibri" w:hAnsi="Calibri" w:cs="Calibri"/>
          <w:kern w:val="0"/>
        </w:rPr>
        <w:t xml:space="preserve"> is that it needs to </w:t>
      </w:r>
      <w:r w:rsidR="00464E18">
        <w:rPr>
          <w:rFonts w:ascii="Calibri" w:hAnsi="Calibri" w:cs="Calibri"/>
          <w:kern w:val="0"/>
        </w:rPr>
        <w:t>be based on a</w:t>
      </w:r>
      <w:r w:rsidR="006F65E2" w:rsidRPr="006F65E2">
        <w:rPr>
          <w:rFonts w:ascii="Calibri" w:hAnsi="Calibri" w:cs="Calibri"/>
          <w:kern w:val="0"/>
        </w:rPr>
        <w:t xml:space="preserve"> sustai</w:t>
      </w:r>
      <w:r w:rsidR="00464E18">
        <w:rPr>
          <w:rFonts w:ascii="Calibri" w:hAnsi="Calibri" w:cs="Calibri"/>
          <w:kern w:val="0"/>
        </w:rPr>
        <w:t>nable business model</w:t>
      </w:r>
      <w:r w:rsidR="006F65E2" w:rsidRPr="006F65E2">
        <w:rPr>
          <w:rFonts w:ascii="Calibri" w:hAnsi="Calibri" w:cs="Calibri"/>
          <w:kern w:val="0"/>
        </w:rPr>
        <w:t>. To support a program of research</w:t>
      </w:r>
      <w:r w:rsidR="000479D5">
        <w:rPr>
          <w:rFonts w:ascii="Calibri" w:hAnsi="Calibri" w:cs="Calibri"/>
          <w:kern w:val="0"/>
        </w:rPr>
        <w:t>,</w:t>
      </w:r>
      <w:r w:rsidR="006F65E2" w:rsidRPr="006F65E2">
        <w:rPr>
          <w:rFonts w:ascii="Calibri" w:hAnsi="Calibri" w:cs="Calibri"/>
          <w:kern w:val="0"/>
        </w:rPr>
        <w:t xml:space="preserve"> not just individual studies</w:t>
      </w:r>
      <w:r w:rsidR="000479D5">
        <w:rPr>
          <w:rFonts w:ascii="Calibri" w:hAnsi="Calibri" w:cs="Calibri"/>
          <w:kern w:val="0"/>
        </w:rPr>
        <w:t>,</w:t>
      </w:r>
      <w:r w:rsidR="006F65E2" w:rsidRPr="006F65E2">
        <w:rPr>
          <w:rFonts w:ascii="Calibri" w:hAnsi="Calibri" w:cs="Calibri"/>
          <w:kern w:val="0"/>
        </w:rPr>
        <w:t xml:space="preserve"> and </w:t>
      </w:r>
      <w:r w:rsidR="00464E18">
        <w:rPr>
          <w:rFonts w:ascii="Calibri" w:hAnsi="Calibri" w:cs="Calibri"/>
          <w:kern w:val="0"/>
        </w:rPr>
        <w:t xml:space="preserve">ensure </w:t>
      </w:r>
      <w:r w:rsidR="006F65E2" w:rsidRPr="006F65E2">
        <w:rPr>
          <w:rFonts w:ascii="Calibri" w:hAnsi="Calibri" w:cs="Calibri"/>
          <w:kern w:val="0"/>
        </w:rPr>
        <w:t xml:space="preserve">systemic adoption of best practices in assessment, long-term </w:t>
      </w:r>
      <w:r w:rsidR="00464E18">
        <w:rPr>
          <w:rFonts w:ascii="Calibri" w:hAnsi="Calibri" w:cs="Calibri"/>
          <w:kern w:val="0"/>
        </w:rPr>
        <w:t xml:space="preserve">and braided </w:t>
      </w:r>
      <w:r w:rsidR="006F65E2" w:rsidRPr="006F65E2">
        <w:rPr>
          <w:rFonts w:ascii="Calibri" w:hAnsi="Calibri" w:cs="Calibri"/>
          <w:kern w:val="0"/>
        </w:rPr>
        <w:t xml:space="preserve">funding is needed for employment of lead researchers, programmer analysts, project managers, business directors, and support staff, who can collaborate with publishers and entrepreneurs. Educational innovations are best </w:t>
      </w:r>
      <w:r w:rsidR="00464E18">
        <w:rPr>
          <w:rFonts w:ascii="Calibri" w:hAnsi="Calibri" w:cs="Calibri"/>
          <w:kern w:val="0"/>
        </w:rPr>
        <w:t>maintained</w:t>
      </w:r>
      <w:r w:rsidR="006F65E2" w:rsidRPr="006F65E2">
        <w:rPr>
          <w:rFonts w:ascii="Calibri" w:hAnsi="Calibri" w:cs="Calibri"/>
          <w:kern w:val="0"/>
        </w:rPr>
        <w:t xml:space="preserve"> </w:t>
      </w:r>
      <w:r w:rsidR="009F6514" w:rsidRPr="006F65E2">
        <w:rPr>
          <w:rFonts w:ascii="Calibri" w:hAnsi="Calibri" w:cs="Calibri"/>
          <w:kern w:val="0"/>
        </w:rPr>
        <w:t>through diversified funding with grants, contracts, and e-commerce</w:t>
      </w:r>
      <w:r w:rsidR="00074AD8" w:rsidRPr="006F65E2">
        <w:rPr>
          <w:rFonts w:ascii="Calibri" w:hAnsi="Calibri" w:cs="Calibri"/>
          <w:kern w:val="0"/>
        </w:rPr>
        <w:t xml:space="preserve">. </w:t>
      </w:r>
      <w:r w:rsidR="006F65E2" w:rsidRPr="006F65E2">
        <w:rPr>
          <w:rFonts w:ascii="Calibri" w:hAnsi="Calibri" w:cs="Calibri"/>
          <w:kern w:val="0"/>
        </w:rPr>
        <w:t>So, b</w:t>
      </w:r>
      <w:r w:rsidR="009F6514" w:rsidRPr="006F65E2">
        <w:rPr>
          <w:rFonts w:ascii="Calibri" w:hAnsi="Calibri" w:cs="Calibri"/>
          <w:kern w:val="0"/>
        </w:rPr>
        <w:t xml:space="preserve">ehind the scenes of both science and practice, </w:t>
      </w:r>
      <w:r w:rsidR="009304C1" w:rsidRPr="006F65E2">
        <w:rPr>
          <w:rFonts w:ascii="Calibri" w:hAnsi="Calibri" w:cs="Calibri"/>
          <w:kern w:val="0"/>
        </w:rPr>
        <w:t xml:space="preserve">I have created a research unit </w:t>
      </w:r>
      <w:r w:rsidR="006F65E2" w:rsidRPr="006F65E2">
        <w:rPr>
          <w:rFonts w:ascii="Calibri" w:hAnsi="Calibri" w:cs="Calibri"/>
          <w:kern w:val="0"/>
        </w:rPr>
        <w:t xml:space="preserve">in the COE </w:t>
      </w:r>
      <w:r w:rsidR="009304C1" w:rsidRPr="006F65E2">
        <w:rPr>
          <w:rFonts w:ascii="Calibri" w:hAnsi="Calibri" w:cs="Calibri"/>
          <w:kern w:val="0"/>
        </w:rPr>
        <w:t xml:space="preserve">(Behavioral Research and Teaching </w:t>
      </w:r>
      <w:r w:rsidR="00074AD8" w:rsidRPr="006F65E2">
        <w:rPr>
          <w:rFonts w:ascii="Calibri" w:hAnsi="Calibri" w:cs="Calibri"/>
          <w:kern w:val="0"/>
        </w:rPr>
        <w:t xml:space="preserve">– </w:t>
      </w:r>
      <w:r w:rsidR="009304C1" w:rsidRPr="006F65E2">
        <w:rPr>
          <w:rFonts w:ascii="Calibri" w:hAnsi="Calibri" w:cs="Calibri"/>
          <w:kern w:val="0"/>
        </w:rPr>
        <w:t>BRT) that</w:t>
      </w:r>
      <w:r w:rsidR="009F6514" w:rsidRPr="006F65E2">
        <w:rPr>
          <w:rFonts w:ascii="Calibri" w:hAnsi="Calibri" w:cs="Calibri"/>
          <w:kern w:val="0"/>
        </w:rPr>
        <w:t xml:space="preserve"> is funded through a complex mix of authorized/legislated </w:t>
      </w:r>
      <w:r w:rsidR="006F65E2" w:rsidRPr="006F65E2">
        <w:rPr>
          <w:rFonts w:ascii="Calibri" w:hAnsi="Calibri" w:cs="Calibri"/>
          <w:kern w:val="0"/>
        </w:rPr>
        <w:t xml:space="preserve">funds </w:t>
      </w:r>
      <w:r w:rsidR="009F6514" w:rsidRPr="006F65E2">
        <w:rPr>
          <w:rFonts w:ascii="Calibri" w:hAnsi="Calibri" w:cs="Calibri"/>
          <w:kern w:val="0"/>
        </w:rPr>
        <w:t xml:space="preserve">and free market dollars, which have resulted in </w:t>
      </w:r>
      <w:r w:rsidR="000479D5">
        <w:rPr>
          <w:rFonts w:ascii="Calibri" w:hAnsi="Calibri" w:cs="Calibri"/>
          <w:kern w:val="0"/>
        </w:rPr>
        <w:t xml:space="preserve">generating </w:t>
      </w:r>
      <w:r w:rsidR="009304C1" w:rsidRPr="006F65E2">
        <w:rPr>
          <w:rFonts w:ascii="Calibri" w:hAnsi="Calibri" w:cs="Calibri"/>
          <w:kern w:val="0"/>
        </w:rPr>
        <w:t xml:space="preserve">about </w:t>
      </w:r>
      <w:r w:rsidR="00116A19" w:rsidRPr="006F65E2">
        <w:rPr>
          <w:rFonts w:ascii="Calibri" w:hAnsi="Calibri" w:cs="Calibri"/>
          <w:kern w:val="0"/>
        </w:rPr>
        <w:t>70</w:t>
      </w:r>
      <w:r w:rsidR="009F6514" w:rsidRPr="006F65E2">
        <w:rPr>
          <w:rFonts w:ascii="Calibri" w:hAnsi="Calibri" w:cs="Calibri"/>
          <w:kern w:val="0"/>
        </w:rPr>
        <w:t xml:space="preserve"> million</w:t>
      </w:r>
      <w:r w:rsidR="009304C1" w:rsidRPr="006F65E2">
        <w:rPr>
          <w:rFonts w:ascii="Calibri" w:hAnsi="Calibri" w:cs="Calibri"/>
          <w:kern w:val="0"/>
        </w:rPr>
        <w:t xml:space="preserve"> dollars</w:t>
      </w:r>
      <w:r w:rsidR="008D2D93">
        <w:rPr>
          <w:rFonts w:ascii="Calibri" w:hAnsi="Calibri" w:cs="Calibri"/>
          <w:kern w:val="0"/>
        </w:rPr>
        <w:t xml:space="preserve"> </w:t>
      </w:r>
      <w:r w:rsidR="008D2D93" w:rsidRPr="00464E18">
        <w:rPr>
          <w:rFonts w:ascii="Calibri" w:hAnsi="Calibri" w:cs="Calibri"/>
          <w:kern w:val="0"/>
        </w:rPr>
        <w:t>to sustain BRT research and innovation</w:t>
      </w:r>
      <w:r w:rsidR="009304C1" w:rsidRPr="006F65E2">
        <w:rPr>
          <w:rFonts w:ascii="Calibri" w:hAnsi="Calibri" w:cs="Calibri"/>
          <w:kern w:val="0"/>
        </w:rPr>
        <w:t>.</w:t>
      </w:r>
    </w:p>
    <w:p w14:paraId="6CFB97BA" w14:textId="77777777" w:rsidR="009304C1" w:rsidRPr="006F65E2" w:rsidRDefault="009304C1" w:rsidP="009F6514">
      <w:pPr>
        <w:autoSpaceDE w:val="0"/>
        <w:autoSpaceDN w:val="0"/>
        <w:adjustRightInd w:val="0"/>
        <w:rPr>
          <w:rFonts w:ascii="Calibri" w:hAnsi="Calibri" w:cs="Calibri"/>
          <w:kern w:val="0"/>
        </w:rPr>
      </w:pPr>
    </w:p>
    <w:p w14:paraId="31B36C03" w14:textId="701688D8" w:rsidR="006279A4" w:rsidRDefault="009304C1" w:rsidP="00116A19">
      <w:pPr>
        <w:autoSpaceDE w:val="0"/>
        <w:autoSpaceDN w:val="0"/>
        <w:adjustRightInd w:val="0"/>
        <w:rPr>
          <w:rFonts w:ascii="Calibri" w:hAnsi="Calibri" w:cs="Calibri"/>
          <w:kern w:val="0"/>
        </w:rPr>
      </w:pPr>
      <w:r w:rsidRPr="006F65E2">
        <w:rPr>
          <w:rFonts w:ascii="Calibri" w:hAnsi="Calibri" w:cs="Calibri"/>
          <w:kern w:val="0"/>
        </w:rPr>
        <w:t xml:space="preserve">BRT </w:t>
      </w:r>
      <w:r w:rsidR="00922E44" w:rsidRPr="006F65E2">
        <w:rPr>
          <w:rFonts w:ascii="Calibri" w:hAnsi="Calibri" w:cs="Calibri"/>
          <w:kern w:val="0"/>
        </w:rPr>
        <w:t xml:space="preserve">was established in 1985, one year after my arrival to </w:t>
      </w:r>
      <w:r w:rsidR="00116A19" w:rsidRPr="006F65E2">
        <w:rPr>
          <w:rFonts w:ascii="Calibri" w:hAnsi="Calibri" w:cs="Calibri"/>
          <w:kern w:val="0"/>
        </w:rPr>
        <w:t>the COE–</w:t>
      </w:r>
      <w:r w:rsidR="00922E44" w:rsidRPr="006F65E2">
        <w:rPr>
          <w:rFonts w:ascii="Calibri" w:hAnsi="Calibri" w:cs="Calibri"/>
          <w:kern w:val="0"/>
        </w:rPr>
        <w:t>UO</w:t>
      </w:r>
      <w:r w:rsidR="00190023">
        <w:rPr>
          <w:rFonts w:ascii="Calibri" w:hAnsi="Calibri" w:cs="Calibri"/>
          <w:kern w:val="0"/>
        </w:rPr>
        <w:t>: S</w:t>
      </w:r>
      <w:r w:rsidR="00922E44" w:rsidRPr="006F65E2">
        <w:rPr>
          <w:rFonts w:ascii="Calibri" w:hAnsi="Calibri" w:cs="Calibri"/>
          <w:kern w:val="0"/>
        </w:rPr>
        <w:t xml:space="preserve">ee </w:t>
      </w:r>
      <w:hyperlink r:id="rId12" w:history="1">
        <w:r w:rsidR="00922E44" w:rsidRPr="006F65E2">
          <w:rPr>
            <w:rStyle w:val="Hyperlink"/>
            <w:rFonts w:ascii="Calibri" w:hAnsi="Calibri" w:cs="Calibri"/>
            <w:kern w:val="0"/>
          </w:rPr>
          <w:t>https://brtprojects.org</w:t>
        </w:r>
      </w:hyperlink>
      <w:r w:rsidR="00922E44" w:rsidRPr="006F65E2">
        <w:rPr>
          <w:rFonts w:ascii="Calibri" w:hAnsi="Calibri" w:cs="Calibri"/>
          <w:kern w:val="0"/>
        </w:rPr>
        <w:t xml:space="preserve">. As noted in </w:t>
      </w:r>
      <w:r w:rsidR="000479D5">
        <w:rPr>
          <w:rFonts w:ascii="Calibri" w:hAnsi="Calibri" w:cs="Calibri"/>
          <w:kern w:val="0"/>
        </w:rPr>
        <w:t>our</w:t>
      </w:r>
      <w:r w:rsidR="00922E44" w:rsidRPr="006F65E2">
        <w:rPr>
          <w:rFonts w:ascii="Calibri" w:hAnsi="Calibri" w:cs="Calibri"/>
          <w:kern w:val="0"/>
        </w:rPr>
        <w:t xml:space="preserve"> mission statement, we </w:t>
      </w:r>
      <w:r w:rsidR="006F65E2" w:rsidRPr="006F65E2">
        <w:rPr>
          <w:rFonts w:ascii="Calibri" w:hAnsi="Calibri" w:cs="Calibri"/>
          <w:kern w:val="0"/>
        </w:rPr>
        <w:t>have focused on</w:t>
      </w:r>
      <w:r w:rsidR="00922E44" w:rsidRPr="006F65E2">
        <w:rPr>
          <w:rFonts w:ascii="Calibri" w:hAnsi="Calibri" w:cs="Calibri"/>
          <w:kern w:val="0"/>
        </w:rPr>
        <w:t xml:space="preserve"> three outcomes: (a) Measurement Development, (b) Measurement Use, and (c) Large-scale Systems Use.</w:t>
      </w:r>
      <w:r w:rsidR="00116A19" w:rsidRPr="006F65E2">
        <w:rPr>
          <w:rFonts w:ascii="Calibri" w:hAnsi="Calibri" w:cs="Calibri"/>
          <w:kern w:val="0"/>
        </w:rPr>
        <w:t xml:space="preserve"> </w:t>
      </w:r>
      <w:r w:rsidR="00116A19" w:rsidRPr="006F65E2">
        <w:rPr>
          <w:rFonts w:ascii="Calibri" w:hAnsi="Calibri" w:cs="Calibri"/>
          <w:color w:val="212121"/>
        </w:rPr>
        <w:t xml:space="preserve">To date, BRT has </w:t>
      </w:r>
      <w:r w:rsidR="008D2D93" w:rsidRPr="00464E18">
        <w:rPr>
          <w:rFonts w:ascii="Calibri" w:hAnsi="Calibri" w:cs="Calibri"/>
          <w:color w:val="212121"/>
        </w:rPr>
        <w:t>procured</w:t>
      </w:r>
      <w:r w:rsidR="008D2D93">
        <w:rPr>
          <w:rFonts w:ascii="Calibri" w:hAnsi="Calibri" w:cs="Calibri"/>
          <w:color w:val="212121"/>
        </w:rPr>
        <w:t xml:space="preserve"> </w:t>
      </w:r>
      <w:r w:rsidR="00116A19" w:rsidRPr="006F65E2">
        <w:rPr>
          <w:rFonts w:ascii="Calibri" w:hAnsi="Calibri" w:cs="Calibri"/>
          <w:color w:val="212121"/>
        </w:rPr>
        <w:t>nearly $61 million</w:t>
      </w:r>
      <w:r w:rsidR="006F65E2" w:rsidRPr="006F65E2">
        <w:rPr>
          <w:rFonts w:ascii="Calibri" w:hAnsi="Calibri" w:cs="Calibri"/>
          <w:color w:val="212121"/>
        </w:rPr>
        <w:t xml:space="preserve"> from 82 contract,</w:t>
      </w:r>
      <w:r w:rsidR="00116A19" w:rsidRPr="006F65E2">
        <w:rPr>
          <w:rFonts w:ascii="Calibri" w:hAnsi="Calibri" w:cs="Calibri"/>
          <w:color w:val="212121"/>
        </w:rPr>
        <w:t xml:space="preserve"> research</w:t>
      </w:r>
      <w:r w:rsidR="006F65E2" w:rsidRPr="006F65E2">
        <w:rPr>
          <w:rFonts w:ascii="Calibri" w:hAnsi="Calibri" w:cs="Calibri"/>
          <w:color w:val="212121"/>
        </w:rPr>
        <w:t>,</w:t>
      </w:r>
      <w:r w:rsidR="00116A19" w:rsidRPr="006F65E2">
        <w:rPr>
          <w:rFonts w:ascii="Calibri" w:hAnsi="Calibri" w:cs="Calibri"/>
          <w:color w:val="212121"/>
        </w:rPr>
        <w:t xml:space="preserve"> and training</w:t>
      </w:r>
      <w:r w:rsidR="006F65E2" w:rsidRPr="006F65E2">
        <w:rPr>
          <w:rFonts w:ascii="Calibri" w:hAnsi="Calibri" w:cs="Calibri"/>
          <w:color w:val="212121"/>
        </w:rPr>
        <w:t xml:space="preserve"> Requests for Proposals (RFPs) issued by </w:t>
      </w:r>
      <w:r w:rsidR="00116A19" w:rsidRPr="006F65E2">
        <w:rPr>
          <w:rFonts w:ascii="Calibri" w:hAnsi="Calibri" w:cs="Calibri"/>
          <w:color w:val="212121"/>
        </w:rPr>
        <w:t>federal agencies (</w:t>
      </w:r>
      <w:r w:rsidR="006F65E2" w:rsidRPr="006F65E2">
        <w:rPr>
          <w:rFonts w:ascii="Calibri" w:hAnsi="Calibri" w:cs="Calibri"/>
          <w:color w:val="212121"/>
        </w:rPr>
        <w:t xml:space="preserve">e.g., </w:t>
      </w:r>
      <w:r w:rsidR="006F65E2" w:rsidRPr="006F65E2">
        <w:rPr>
          <w:rFonts w:ascii="Calibri" w:hAnsi="Calibri" w:cs="Calibri"/>
          <w:i/>
          <w:iCs/>
          <w:color w:val="212121"/>
        </w:rPr>
        <w:t>Office of Special Education Programs and the Institute of Educational Sciences</w:t>
      </w:r>
      <w:r w:rsidR="00116A19" w:rsidRPr="006F65E2">
        <w:rPr>
          <w:rFonts w:ascii="Calibri" w:hAnsi="Calibri" w:cs="Calibri"/>
          <w:color w:val="212121"/>
        </w:rPr>
        <w:t xml:space="preserve">), as well as state educational agencies (SEAs) and state collaboratives. </w:t>
      </w:r>
      <w:r w:rsidR="004175BA" w:rsidRPr="006F65E2">
        <w:rPr>
          <w:rFonts w:ascii="Calibri" w:eastAsia="Times New Roman" w:hAnsi="Calibri" w:cs="Calibri"/>
          <w:color w:val="212121"/>
          <w:kern w:val="0"/>
          <w14:ligatures w14:val="none"/>
        </w:rPr>
        <w:t xml:space="preserve">BRT </w:t>
      </w:r>
      <w:r w:rsidR="006F65E2" w:rsidRPr="006F65E2">
        <w:rPr>
          <w:rFonts w:ascii="Calibri" w:eastAsia="Times New Roman" w:hAnsi="Calibri" w:cs="Calibri"/>
          <w:color w:val="212121"/>
          <w:kern w:val="0"/>
          <w14:ligatures w14:val="none"/>
        </w:rPr>
        <w:t>also has been</w:t>
      </w:r>
      <w:r w:rsidR="004175BA" w:rsidRPr="006F65E2">
        <w:rPr>
          <w:rFonts w:ascii="Calibri" w:eastAsia="Times New Roman" w:hAnsi="Calibri" w:cs="Calibri"/>
          <w:color w:val="212121"/>
          <w:kern w:val="0"/>
          <w14:ligatures w14:val="none"/>
        </w:rPr>
        <w:t xml:space="preserve"> funded through the sales of educational software</w:t>
      </w:r>
      <w:r w:rsidR="006F65E2" w:rsidRPr="006F65E2">
        <w:rPr>
          <w:rFonts w:ascii="Calibri" w:eastAsia="Times New Roman" w:hAnsi="Calibri" w:cs="Calibri"/>
          <w:color w:val="212121"/>
          <w:kern w:val="0"/>
          <w14:ligatures w14:val="none"/>
        </w:rPr>
        <w:t>,</w:t>
      </w:r>
      <w:r w:rsidR="00116A19" w:rsidRPr="006F65E2">
        <w:rPr>
          <w:rFonts w:ascii="Calibri" w:eastAsia="Times New Roman" w:hAnsi="Calibri" w:cs="Calibri"/>
          <w:color w:val="212121"/>
          <w:kern w:val="0"/>
          <w14:ligatures w14:val="none"/>
        </w:rPr>
        <w:t xml:space="preserve"> with</w:t>
      </w:r>
      <w:r w:rsidR="004175BA" w:rsidRPr="006F65E2">
        <w:rPr>
          <w:rFonts w:ascii="Calibri" w:eastAsia="Times New Roman" w:hAnsi="Calibri" w:cs="Calibri"/>
          <w:color w:val="212121"/>
          <w:kern w:val="0"/>
          <w14:ligatures w14:val="none"/>
        </w:rPr>
        <w:t xml:space="preserve"> </w:t>
      </w:r>
      <w:proofErr w:type="spellStart"/>
      <w:r w:rsidR="004175BA" w:rsidRPr="006F65E2">
        <w:rPr>
          <w:rFonts w:ascii="Calibri" w:eastAsia="Times New Roman" w:hAnsi="Calibri" w:cs="Calibri"/>
          <w:color w:val="212121"/>
          <w:kern w:val="0"/>
          <w14:ligatures w14:val="none"/>
        </w:rPr>
        <w:t>easyCBM</w:t>
      </w:r>
      <w:proofErr w:type="spellEnd"/>
      <w:r w:rsidR="004175BA" w:rsidRPr="006F65E2">
        <w:rPr>
          <w:rFonts w:ascii="Calibri" w:hAnsi="Calibri" w:cs="Calibri"/>
          <w:vertAlign w:val="superscript"/>
        </w:rPr>
        <w:t>®</w:t>
      </w:r>
      <w:r w:rsidR="004175BA" w:rsidRPr="006F65E2">
        <w:rPr>
          <w:rFonts w:ascii="Calibri" w:eastAsia="Times New Roman" w:hAnsi="Calibri" w:cs="Calibri"/>
          <w:color w:val="212121"/>
          <w:kern w:val="0"/>
          <w14:ligatures w14:val="none"/>
        </w:rPr>
        <w:t xml:space="preserve"> </w:t>
      </w:r>
      <w:r w:rsidR="008D2D93" w:rsidRPr="00464E18">
        <w:rPr>
          <w:rFonts w:ascii="Calibri" w:eastAsia="Times New Roman" w:hAnsi="Calibri" w:cs="Calibri"/>
          <w:color w:val="212121"/>
          <w:kern w:val="0"/>
          <w14:ligatures w14:val="none"/>
        </w:rPr>
        <w:t>resulting</w:t>
      </w:r>
      <w:r w:rsidR="004175BA" w:rsidRPr="006F65E2">
        <w:rPr>
          <w:rFonts w:ascii="Calibri" w:eastAsia="Times New Roman" w:hAnsi="Calibri" w:cs="Calibri"/>
          <w:color w:val="212121"/>
          <w:kern w:val="0"/>
          <w14:ligatures w14:val="none"/>
        </w:rPr>
        <w:t xml:space="preserve"> in nearly $</w:t>
      </w:r>
      <w:r w:rsidR="00116A19" w:rsidRPr="006F65E2">
        <w:rPr>
          <w:rFonts w:ascii="Calibri" w:eastAsia="Times New Roman" w:hAnsi="Calibri" w:cs="Calibri"/>
          <w:color w:val="212121"/>
          <w:kern w:val="0"/>
          <w14:ligatures w14:val="none"/>
        </w:rPr>
        <w:t>9</w:t>
      </w:r>
      <w:r w:rsidR="004175BA" w:rsidRPr="006F65E2">
        <w:rPr>
          <w:rFonts w:ascii="Calibri" w:eastAsia="Times New Roman" w:hAnsi="Calibri" w:cs="Calibri"/>
          <w:color w:val="212121"/>
          <w:kern w:val="0"/>
          <w14:ligatures w14:val="none"/>
        </w:rPr>
        <w:t xml:space="preserve"> million since 201</w:t>
      </w:r>
      <w:r w:rsidR="00116A19" w:rsidRPr="006F65E2">
        <w:rPr>
          <w:rFonts w:ascii="Calibri" w:eastAsia="Times New Roman" w:hAnsi="Calibri" w:cs="Calibri"/>
          <w:color w:val="212121"/>
          <w:kern w:val="0"/>
          <w14:ligatures w14:val="none"/>
        </w:rPr>
        <w:t>2</w:t>
      </w:r>
      <w:r w:rsidR="004175BA" w:rsidRPr="006F65E2">
        <w:rPr>
          <w:rFonts w:ascii="Calibri" w:eastAsia="Times New Roman" w:hAnsi="Calibri" w:cs="Calibri"/>
          <w:color w:val="212121"/>
          <w:kern w:val="0"/>
          <w14:ligatures w14:val="none"/>
        </w:rPr>
        <w:t xml:space="preserve">. BRT software </w:t>
      </w:r>
      <w:r w:rsidR="006F65E2" w:rsidRPr="006F65E2">
        <w:rPr>
          <w:rFonts w:ascii="Calibri" w:eastAsia="Times New Roman" w:hAnsi="Calibri" w:cs="Calibri"/>
          <w:color w:val="212121"/>
          <w:kern w:val="0"/>
          <w14:ligatures w14:val="none"/>
        </w:rPr>
        <w:t>has been</w:t>
      </w:r>
      <w:r w:rsidR="004175BA" w:rsidRPr="006F65E2">
        <w:rPr>
          <w:rFonts w:ascii="Calibri" w:eastAsia="Times New Roman" w:hAnsi="Calibri" w:cs="Calibri"/>
          <w:color w:val="212121"/>
          <w:kern w:val="0"/>
          <w14:ligatures w14:val="none"/>
        </w:rPr>
        <w:t xml:space="preserve"> copyrighted to the University of Oregon (UO) with funds directed through the Office of the Vice President of Research and Innovation (</w:t>
      </w:r>
      <w:r w:rsidR="006F65E2" w:rsidRPr="006F65E2">
        <w:rPr>
          <w:rFonts w:ascii="Calibri" w:eastAsia="Times New Roman" w:hAnsi="Calibri" w:cs="Calibri"/>
          <w:color w:val="212121"/>
          <w:kern w:val="0"/>
          <w14:ligatures w14:val="none"/>
        </w:rPr>
        <w:t>O</w:t>
      </w:r>
      <w:r w:rsidR="004175BA" w:rsidRPr="006F65E2">
        <w:rPr>
          <w:rFonts w:ascii="Calibri" w:eastAsia="Times New Roman" w:hAnsi="Calibri" w:cs="Calibri"/>
          <w:color w:val="212121"/>
          <w:kern w:val="0"/>
          <w14:ligatures w14:val="none"/>
        </w:rPr>
        <w:t xml:space="preserve">VPRI) and used to support </w:t>
      </w:r>
      <w:r w:rsidR="006F65E2" w:rsidRPr="006F65E2">
        <w:rPr>
          <w:rFonts w:ascii="Calibri" w:eastAsia="Times New Roman" w:hAnsi="Calibri" w:cs="Calibri"/>
          <w:color w:val="212121"/>
          <w:kern w:val="0"/>
          <w14:ligatures w14:val="none"/>
        </w:rPr>
        <w:t>personnel</w:t>
      </w:r>
      <w:r w:rsidR="004175BA" w:rsidRPr="006F65E2">
        <w:rPr>
          <w:rFonts w:ascii="Calibri" w:eastAsia="Times New Roman" w:hAnsi="Calibri" w:cs="Calibri"/>
          <w:color w:val="212121"/>
          <w:kern w:val="0"/>
          <w14:ligatures w14:val="none"/>
        </w:rPr>
        <w:t xml:space="preserve"> who directly support the software</w:t>
      </w:r>
      <w:r w:rsidR="006F65E2" w:rsidRPr="006F65E2">
        <w:rPr>
          <w:rFonts w:ascii="Calibri" w:eastAsia="Times New Roman" w:hAnsi="Calibri" w:cs="Calibri"/>
          <w:color w:val="212121"/>
          <w:kern w:val="0"/>
          <w14:ligatures w14:val="none"/>
        </w:rPr>
        <w:t xml:space="preserve">, with </w:t>
      </w:r>
      <w:r w:rsidR="006F65E2" w:rsidRPr="00464E18">
        <w:rPr>
          <w:rFonts w:ascii="Calibri" w:eastAsia="Times New Roman" w:hAnsi="Calibri" w:cs="Calibri"/>
          <w:color w:val="212121"/>
          <w:kern w:val="0"/>
          <w:u w:val="single"/>
          <w14:ligatures w14:val="none"/>
        </w:rPr>
        <w:t>n</w:t>
      </w:r>
      <w:r w:rsidR="004175BA" w:rsidRPr="00464E18">
        <w:rPr>
          <w:rFonts w:ascii="Calibri" w:eastAsia="Times New Roman" w:hAnsi="Calibri" w:cs="Calibri"/>
          <w:color w:val="212121"/>
          <w:kern w:val="0"/>
          <w:u w:val="single"/>
          <w14:ligatures w14:val="none"/>
        </w:rPr>
        <w:t>o royalties</w:t>
      </w:r>
      <w:r w:rsidR="004175BA" w:rsidRPr="006F65E2">
        <w:rPr>
          <w:rFonts w:ascii="Calibri" w:eastAsia="Times New Roman" w:hAnsi="Calibri" w:cs="Calibri"/>
          <w:color w:val="212121"/>
          <w:kern w:val="0"/>
          <w14:ligatures w14:val="none"/>
        </w:rPr>
        <w:t xml:space="preserve"> distributed to </w:t>
      </w:r>
      <w:r w:rsidR="008D2D93" w:rsidRPr="00464E18">
        <w:rPr>
          <w:rFonts w:ascii="Calibri" w:eastAsia="Times New Roman" w:hAnsi="Calibri" w:cs="Calibri"/>
          <w:color w:val="212121"/>
          <w:kern w:val="0"/>
          <w14:ligatures w14:val="none"/>
        </w:rPr>
        <w:t>any</w:t>
      </w:r>
      <w:r w:rsidR="008D2D93">
        <w:rPr>
          <w:rFonts w:ascii="Calibri" w:eastAsia="Times New Roman" w:hAnsi="Calibri" w:cs="Calibri"/>
          <w:color w:val="212121"/>
          <w:kern w:val="0"/>
          <w14:ligatures w14:val="none"/>
        </w:rPr>
        <w:t xml:space="preserve"> </w:t>
      </w:r>
      <w:r w:rsidR="004175BA" w:rsidRPr="006F65E2">
        <w:rPr>
          <w:rFonts w:ascii="Calibri" w:eastAsia="Times New Roman" w:hAnsi="Calibri" w:cs="Calibri"/>
          <w:color w:val="212121"/>
          <w:kern w:val="0"/>
          <w14:ligatures w14:val="none"/>
        </w:rPr>
        <w:t>innovators.</w:t>
      </w:r>
      <w:r w:rsidR="00116A19" w:rsidRPr="006F65E2">
        <w:rPr>
          <w:rFonts w:ascii="Calibri" w:hAnsi="Calibri" w:cs="Calibri"/>
          <w:kern w:val="0"/>
        </w:rPr>
        <w:t xml:space="preserve"> </w:t>
      </w:r>
    </w:p>
    <w:p w14:paraId="5F10A427" w14:textId="77777777" w:rsidR="006F65E2" w:rsidRPr="006F65E2" w:rsidRDefault="006F65E2" w:rsidP="00116A19">
      <w:pPr>
        <w:autoSpaceDE w:val="0"/>
        <w:autoSpaceDN w:val="0"/>
        <w:adjustRightInd w:val="0"/>
        <w:rPr>
          <w:rFonts w:ascii="Calibri" w:hAnsi="Calibri" w:cs="Calibri"/>
          <w:color w:val="212121"/>
        </w:rPr>
      </w:pPr>
    </w:p>
    <w:p w14:paraId="01F25AAF" w14:textId="2068305F" w:rsidR="006F65E2" w:rsidRDefault="006F65E2" w:rsidP="00116A19">
      <w:pPr>
        <w:autoSpaceDE w:val="0"/>
        <w:autoSpaceDN w:val="0"/>
        <w:adjustRightInd w:val="0"/>
        <w:rPr>
          <w:rFonts w:ascii="Calibri" w:hAnsi="Calibri" w:cs="Calibri"/>
          <w:color w:val="212121"/>
        </w:rPr>
      </w:pPr>
      <w:r w:rsidRPr="006F65E2">
        <w:rPr>
          <w:rFonts w:ascii="Calibri" w:hAnsi="Calibri" w:cs="Calibri"/>
          <w:color w:val="212121"/>
        </w:rPr>
        <w:t xml:space="preserve">In summary, enhancing educational innovations requires a </w:t>
      </w:r>
      <w:r w:rsidR="00054EF5">
        <w:rPr>
          <w:rFonts w:ascii="Calibri" w:hAnsi="Calibri" w:cs="Calibri"/>
          <w:color w:val="212121"/>
        </w:rPr>
        <w:t>vision</w:t>
      </w:r>
      <w:r w:rsidRPr="006F65E2">
        <w:rPr>
          <w:rFonts w:ascii="Calibri" w:hAnsi="Calibri" w:cs="Calibri"/>
          <w:color w:val="212121"/>
        </w:rPr>
        <w:t xml:space="preserve"> that connects the science of education, direct and practical applications in classrooms, and a sustained infrastructure with institutional support and long-term funding. With these </w:t>
      </w:r>
      <w:r w:rsidR="008D2D93" w:rsidRPr="00464E18">
        <w:rPr>
          <w:rFonts w:ascii="Calibri" w:hAnsi="Calibri" w:cs="Calibri"/>
          <w:color w:val="212121"/>
        </w:rPr>
        <w:t>three paths</w:t>
      </w:r>
      <w:r w:rsidRPr="00464E18">
        <w:rPr>
          <w:rFonts w:ascii="Calibri" w:hAnsi="Calibri" w:cs="Calibri"/>
          <w:color w:val="212121"/>
        </w:rPr>
        <w:t>,</w:t>
      </w:r>
      <w:r w:rsidRPr="006F65E2">
        <w:rPr>
          <w:rFonts w:ascii="Calibri" w:hAnsi="Calibri" w:cs="Calibri"/>
          <w:color w:val="212121"/>
        </w:rPr>
        <w:t xml:space="preserve"> it may be possible to turn</w:t>
      </w:r>
      <w:r w:rsidR="000479D5">
        <w:rPr>
          <w:rFonts w:ascii="Calibri" w:hAnsi="Calibri" w:cs="Calibri"/>
          <w:color w:val="212121"/>
        </w:rPr>
        <w:t xml:space="preserve"> around</w:t>
      </w:r>
      <w:r w:rsidRPr="006F65E2">
        <w:rPr>
          <w:rFonts w:ascii="Calibri" w:hAnsi="Calibri" w:cs="Calibri"/>
          <w:color w:val="212121"/>
        </w:rPr>
        <w:t xml:space="preserve"> the extensive history of bleak results reported by the National Assessment of Educational Progress (NAEP) in 2024: Only one-third of our nation’s students </w:t>
      </w:r>
      <w:r w:rsidR="00E7055B">
        <w:rPr>
          <w:rFonts w:ascii="Calibri" w:hAnsi="Calibri" w:cs="Calibri"/>
          <w:color w:val="212121"/>
        </w:rPr>
        <w:t>can</w:t>
      </w:r>
      <w:r w:rsidR="008D2D93">
        <w:rPr>
          <w:rFonts w:ascii="Calibri" w:hAnsi="Calibri" w:cs="Calibri"/>
          <w:color w:val="212121"/>
        </w:rPr>
        <w:t xml:space="preserve"> </w:t>
      </w:r>
      <w:r w:rsidRPr="006F65E2">
        <w:rPr>
          <w:rFonts w:ascii="Calibri" w:hAnsi="Calibri" w:cs="Calibri"/>
          <w:color w:val="212121"/>
        </w:rPr>
        <w:t xml:space="preserve">read and understand text or compute and solve math problems at a proficient level </w:t>
      </w:r>
      <w:r w:rsidRPr="00464E18">
        <w:rPr>
          <w:rFonts w:ascii="Calibri" w:hAnsi="Calibri" w:cs="Calibri"/>
          <w:color w:val="212121"/>
          <w:u w:val="single"/>
        </w:rPr>
        <w:t>since 1992</w:t>
      </w:r>
      <w:r w:rsidRPr="00464E18">
        <w:rPr>
          <w:rFonts w:ascii="Calibri" w:hAnsi="Calibri" w:cs="Calibri"/>
          <w:color w:val="212121"/>
        </w:rPr>
        <w:t>.</w:t>
      </w:r>
      <w:r w:rsidR="001839F6">
        <w:rPr>
          <w:rFonts w:ascii="Calibri" w:hAnsi="Calibri" w:cs="Calibri"/>
          <w:color w:val="212121"/>
        </w:rPr>
        <w:t xml:space="preserve"> </w:t>
      </w:r>
    </w:p>
    <w:p w14:paraId="65578457" w14:textId="77777777" w:rsidR="006279A4" w:rsidRDefault="006279A4" w:rsidP="00116A19">
      <w:pPr>
        <w:autoSpaceDE w:val="0"/>
        <w:autoSpaceDN w:val="0"/>
        <w:adjustRightInd w:val="0"/>
        <w:rPr>
          <w:rFonts w:ascii="Calibri" w:hAnsi="Calibri" w:cs="Calibri"/>
          <w:color w:val="212121"/>
        </w:rPr>
      </w:pPr>
    </w:p>
    <w:p w14:paraId="344A62DE" w14:textId="607CCF63" w:rsidR="006279A4" w:rsidRPr="006F65E2" w:rsidRDefault="006279A4" w:rsidP="006279A4">
      <w:pPr>
        <w:autoSpaceDE w:val="0"/>
        <w:autoSpaceDN w:val="0"/>
        <w:adjustRightInd w:val="0"/>
        <w:rPr>
          <w:rFonts w:ascii="Calibri" w:hAnsi="Calibri" w:cs="Calibri"/>
          <w:color w:val="212121"/>
        </w:rPr>
      </w:pPr>
      <w:r w:rsidRPr="00464E18">
        <w:rPr>
          <w:rFonts w:ascii="Calibri" w:hAnsi="Calibri" w:cs="Calibri"/>
          <w:b/>
          <w:bCs/>
          <w:color w:val="212121"/>
        </w:rPr>
        <w:lastRenderedPageBreak/>
        <w:t>Note:</w:t>
      </w:r>
      <w:r w:rsidRPr="00464E18">
        <w:rPr>
          <w:rFonts w:ascii="Calibri" w:hAnsi="Calibri" w:cs="Calibri"/>
          <w:color w:val="212121"/>
        </w:rPr>
        <w:t xml:space="preserve"> The graph depicts cumulative </w:t>
      </w:r>
      <w:r>
        <w:rPr>
          <w:rFonts w:ascii="Calibri" w:hAnsi="Calibri" w:cs="Calibri"/>
          <w:color w:val="212121"/>
        </w:rPr>
        <w:t>dollars</w:t>
      </w:r>
      <w:r w:rsidRPr="00464E18">
        <w:rPr>
          <w:rFonts w:ascii="Calibri" w:hAnsi="Calibri" w:cs="Calibri"/>
          <w:color w:val="212121"/>
        </w:rPr>
        <w:t xml:space="preserve"> </w:t>
      </w:r>
      <w:r>
        <w:rPr>
          <w:rFonts w:ascii="Calibri" w:hAnsi="Calibri" w:cs="Calibri"/>
          <w:color w:val="212121"/>
        </w:rPr>
        <w:t xml:space="preserve">from competitive funding sources </w:t>
      </w:r>
      <w:r w:rsidRPr="00464E18">
        <w:rPr>
          <w:rFonts w:ascii="Calibri" w:hAnsi="Calibri" w:cs="Calibri"/>
          <w:color w:val="212121"/>
        </w:rPr>
        <w:t xml:space="preserve">with a spike upward in 2011 </w:t>
      </w:r>
      <w:r>
        <w:rPr>
          <w:rFonts w:ascii="Calibri" w:hAnsi="Calibri" w:cs="Calibri"/>
          <w:color w:val="212121"/>
        </w:rPr>
        <w:t>with</w:t>
      </w:r>
      <w:r w:rsidRPr="00464E18">
        <w:rPr>
          <w:rFonts w:ascii="Calibri" w:hAnsi="Calibri" w:cs="Calibri"/>
          <w:color w:val="212121"/>
        </w:rPr>
        <w:t xml:space="preserve"> the </w:t>
      </w:r>
      <w:r w:rsidRPr="00464E18">
        <w:rPr>
          <w:rFonts w:ascii="Calibri" w:hAnsi="Calibri" w:cs="Calibri"/>
          <w:i/>
          <w:iCs/>
          <w:color w:val="212121"/>
        </w:rPr>
        <w:t>National Center on Assessment and Accountability in Special Education – NCAASE</w:t>
      </w:r>
      <w:r w:rsidRPr="00464E18">
        <w:rPr>
          <w:rFonts w:ascii="Calibri" w:hAnsi="Calibri" w:cs="Calibri"/>
          <w:color w:val="212121"/>
        </w:rPr>
        <w:t xml:space="preserve"> – an $11 million center funded by IES. Otherwise, growth has been steady and continuous for over 40</w:t>
      </w:r>
      <w:r>
        <w:rPr>
          <w:rFonts w:ascii="Calibri" w:hAnsi="Calibri" w:cs="Calibri"/>
          <w:color w:val="212121"/>
        </w:rPr>
        <w:t>+</w:t>
      </w:r>
      <w:r w:rsidRPr="00464E18">
        <w:rPr>
          <w:rFonts w:ascii="Calibri" w:hAnsi="Calibri" w:cs="Calibri"/>
          <w:color w:val="212121"/>
        </w:rPr>
        <w:t xml:space="preserve"> years with no boom or bust interruptions. </w:t>
      </w:r>
    </w:p>
    <w:p w14:paraId="75A41F1C" w14:textId="77777777" w:rsidR="006279A4" w:rsidRPr="006F65E2" w:rsidRDefault="006279A4" w:rsidP="00116A19">
      <w:pPr>
        <w:autoSpaceDE w:val="0"/>
        <w:autoSpaceDN w:val="0"/>
        <w:adjustRightInd w:val="0"/>
        <w:rPr>
          <w:rFonts w:ascii="Calibri" w:hAnsi="Calibri" w:cs="Calibri"/>
          <w:kern w:val="0"/>
        </w:rPr>
      </w:pPr>
    </w:p>
    <w:p w14:paraId="6EF32D9B" w14:textId="22D5B9BB" w:rsidR="00B33B88" w:rsidRDefault="006279A4" w:rsidP="00B33B88">
      <w:pPr>
        <w:pStyle w:val="ListParagraph"/>
        <w:ind w:left="360"/>
        <w:rPr>
          <w:rFonts w:ascii="Calibri" w:hAnsi="Calibri" w:cs="Calibri"/>
          <w:color w:val="212121"/>
        </w:rPr>
      </w:pPr>
      <w:r w:rsidRPr="006F65E2">
        <w:rPr>
          <w:rFonts w:ascii="Calibri" w:hAnsi="Calibri" w:cs="Calibri"/>
          <w:noProof/>
          <w:shd w:val="clear" w:color="auto" w:fill="CAEDFB" w:themeFill="accent4" w:themeFillTint="33"/>
        </w:rPr>
        <w:drawing>
          <wp:inline distT="0" distB="0" distL="0" distR="0" wp14:anchorId="7C4305C9" wp14:editId="1B545648">
            <wp:extent cx="5943600" cy="2758440"/>
            <wp:effectExtent l="0" t="0" r="12700" b="10160"/>
            <wp:docPr id="1588133615" name="Chart 1">
              <a:extLst xmlns:a="http://schemas.openxmlformats.org/drawingml/2006/main">
                <a:ext uri="{FF2B5EF4-FFF2-40B4-BE49-F238E27FC236}">
                  <a16:creationId xmlns:a16="http://schemas.microsoft.com/office/drawing/2014/main" id="{84B1E2D3-1D80-AD0F-490B-BFC3A9F4D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860B2" w14:textId="77777777" w:rsidR="006279A4" w:rsidRDefault="006279A4" w:rsidP="00B33B88">
      <w:pPr>
        <w:pStyle w:val="ListParagraph"/>
        <w:ind w:left="360"/>
        <w:rPr>
          <w:rFonts w:ascii="Calibri" w:hAnsi="Calibri" w:cs="Calibri"/>
          <w:color w:val="212121"/>
        </w:rPr>
      </w:pPr>
    </w:p>
    <w:p w14:paraId="07A8ED2C" w14:textId="4EE63FF3" w:rsidR="006279A4" w:rsidRDefault="006279A4" w:rsidP="00B33B88">
      <w:pPr>
        <w:pStyle w:val="ListParagraph"/>
        <w:ind w:left="360"/>
        <w:rPr>
          <w:rFonts w:ascii="Calibri" w:hAnsi="Calibri" w:cs="Calibri"/>
          <w:color w:val="212121"/>
        </w:rPr>
      </w:pPr>
      <w:r>
        <w:rPr>
          <w:rFonts w:ascii="Calibri" w:hAnsi="Calibri" w:cs="Calibri"/>
          <w:color w:val="212121"/>
        </w:rPr>
        <w:t>T</w:t>
      </w:r>
      <w:r w:rsidRPr="00464E18">
        <w:rPr>
          <w:rFonts w:ascii="Calibri" w:hAnsi="Calibri" w:cs="Calibri"/>
          <w:color w:val="212121"/>
        </w:rPr>
        <w:t xml:space="preserve">he table </w:t>
      </w:r>
      <w:r>
        <w:rPr>
          <w:rFonts w:ascii="Calibri" w:hAnsi="Calibri" w:cs="Calibri"/>
          <w:color w:val="212121"/>
        </w:rPr>
        <w:t xml:space="preserve">on the left </w:t>
      </w:r>
      <w:r w:rsidRPr="00464E18">
        <w:rPr>
          <w:rFonts w:ascii="Calibri" w:hAnsi="Calibri" w:cs="Calibri"/>
          <w:color w:val="212121"/>
        </w:rPr>
        <w:t xml:space="preserve">includes </w:t>
      </w:r>
      <w:r>
        <w:rPr>
          <w:rFonts w:ascii="Calibri" w:hAnsi="Calibri" w:cs="Calibri"/>
          <w:color w:val="212121"/>
        </w:rPr>
        <w:t>all three sources of competitive funding and on the right,</w:t>
      </w:r>
      <w:r w:rsidRPr="00464E18">
        <w:rPr>
          <w:rFonts w:ascii="Calibri" w:hAnsi="Calibri" w:cs="Calibri"/>
          <w:color w:val="212121"/>
        </w:rPr>
        <w:t xml:space="preserve"> software revenue</w:t>
      </w:r>
      <w:r>
        <w:rPr>
          <w:rFonts w:ascii="Calibri" w:hAnsi="Calibri" w:cs="Calibri"/>
          <w:color w:val="212121"/>
        </w:rPr>
        <w:t xml:space="preserve"> from the marketplace</w:t>
      </w:r>
      <w:r w:rsidRPr="00464E18">
        <w:rPr>
          <w:rFonts w:ascii="Calibri" w:hAnsi="Calibri" w:cs="Calibri"/>
          <w:color w:val="212121"/>
        </w:rPr>
        <w:t>.</w:t>
      </w:r>
    </w:p>
    <w:p w14:paraId="3F225B7F" w14:textId="77777777" w:rsidR="006279A4" w:rsidRPr="006F65E2" w:rsidRDefault="006279A4" w:rsidP="00B33B88">
      <w:pPr>
        <w:pStyle w:val="ListParagraph"/>
        <w:ind w:left="360"/>
        <w:rPr>
          <w:rFonts w:ascii="Calibri" w:hAnsi="Calibri" w:cs="Calibri"/>
          <w:color w:val="212121"/>
        </w:rPr>
      </w:pPr>
    </w:p>
    <w:p w14:paraId="0E27101F" w14:textId="02C50B24" w:rsidR="00B33B88" w:rsidRDefault="00B357A3" w:rsidP="00467EC7">
      <w:pPr>
        <w:pStyle w:val="ListParagraph"/>
        <w:tabs>
          <w:tab w:val="left" w:pos="3240"/>
        </w:tabs>
        <w:spacing w:after="120"/>
        <w:ind w:left="360"/>
        <w:jc w:val="center"/>
        <w:rPr>
          <w:rFonts w:ascii="Calibri" w:hAnsi="Calibri" w:cs="Calibri"/>
          <w:b/>
          <w:bCs/>
          <w:sz w:val="20"/>
          <w:szCs w:val="20"/>
        </w:rPr>
      </w:pPr>
      <w:r w:rsidRPr="00B357A3">
        <w:rPr>
          <w:rFonts w:ascii="Calibri" w:hAnsi="Calibri" w:cs="Calibri"/>
          <w:b/>
          <w:bCs/>
          <w:sz w:val="20"/>
          <w:szCs w:val="20"/>
        </w:rPr>
        <w:t>Revenue</w:t>
      </w:r>
      <w:r>
        <w:rPr>
          <w:rFonts w:ascii="Calibri" w:hAnsi="Calibri" w:cs="Calibri"/>
          <w:b/>
          <w:bCs/>
          <w:sz w:val="20"/>
          <w:szCs w:val="20"/>
        </w:rPr>
        <w:t xml:space="preserve"> Sources</w:t>
      </w:r>
    </w:p>
    <w:p w14:paraId="4AA6484A" w14:textId="77777777" w:rsidR="006279A4" w:rsidRDefault="006279A4" w:rsidP="00B357A3">
      <w:pPr>
        <w:pStyle w:val="ListParagraph"/>
        <w:tabs>
          <w:tab w:val="left" w:pos="3240"/>
        </w:tabs>
        <w:spacing w:after="120"/>
        <w:ind w:left="360"/>
        <w:rPr>
          <w:rFonts w:ascii="Calibri" w:hAnsi="Calibri" w:cs="Calibri"/>
          <w:b/>
          <w:bCs/>
          <w:sz w:val="20"/>
          <w:szCs w:val="20"/>
        </w:rPr>
      </w:pPr>
    </w:p>
    <w:tbl>
      <w:tblPr>
        <w:tblStyle w:val="TableGrid"/>
        <w:tblW w:w="0" w:type="auto"/>
        <w:tblInd w:w="360" w:type="dxa"/>
        <w:tblLook w:val="04A0" w:firstRow="1" w:lastRow="0" w:firstColumn="1" w:lastColumn="0" w:noHBand="0" w:noVBand="1"/>
      </w:tblPr>
      <w:tblGrid>
        <w:gridCol w:w="4225"/>
        <w:gridCol w:w="4320"/>
      </w:tblGrid>
      <w:tr w:rsidR="00B357A3" w14:paraId="7A2AC47A" w14:textId="77777777" w:rsidTr="00317DE6">
        <w:trPr>
          <w:trHeight w:val="215"/>
        </w:trPr>
        <w:tc>
          <w:tcPr>
            <w:tcW w:w="4225" w:type="dxa"/>
            <w:shd w:val="clear" w:color="auto" w:fill="DAE9F7" w:themeFill="text2" w:themeFillTint="1A"/>
          </w:tcPr>
          <w:p w14:paraId="445DBA2C" w14:textId="220AEDBB" w:rsidR="00B357A3" w:rsidRPr="006279A4" w:rsidRDefault="00B357A3" w:rsidP="00B357A3">
            <w:pPr>
              <w:pStyle w:val="ListParagraph"/>
              <w:tabs>
                <w:tab w:val="left" w:pos="3240"/>
              </w:tabs>
              <w:spacing w:after="120"/>
              <w:ind w:left="0"/>
              <w:jc w:val="center"/>
              <w:rPr>
                <w:rFonts w:ascii="Calibri" w:hAnsi="Calibri" w:cs="Calibri"/>
                <w:color w:val="212121"/>
                <w:sz w:val="20"/>
                <w:szCs w:val="20"/>
              </w:rPr>
            </w:pPr>
            <w:r w:rsidRPr="006279A4">
              <w:rPr>
                <w:rFonts w:ascii="Calibri" w:hAnsi="Calibri" w:cs="Calibri"/>
                <w:b/>
                <w:bCs/>
                <w:color w:val="212121"/>
                <w:sz w:val="20"/>
                <w:szCs w:val="20"/>
              </w:rPr>
              <w:t>Contract • Research • Training</w:t>
            </w:r>
          </w:p>
        </w:tc>
        <w:tc>
          <w:tcPr>
            <w:tcW w:w="4320" w:type="dxa"/>
            <w:shd w:val="clear" w:color="auto" w:fill="DAE9F7" w:themeFill="text2" w:themeFillTint="1A"/>
          </w:tcPr>
          <w:p w14:paraId="5ABC0578" w14:textId="7B0EE5DD" w:rsidR="00B357A3" w:rsidRPr="006279A4" w:rsidRDefault="00317DE6" w:rsidP="00B357A3">
            <w:pPr>
              <w:pStyle w:val="ListParagraph"/>
              <w:tabs>
                <w:tab w:val="left" w:pos="3240"/>
              </w:tabs>
              <w:spacing w:after="120"/>
              <w:ind w:left="0"/>
              <w:jc w:val="center"/>
              <w:rPr>
                <w:rFonts w:ascii="Calibri" w:hAnsi="Calibri" w:cs="Calibri"/>
                <w:color w:val="212121"/>
                <w:sz w:val="20"/>
                <w:szCs w:val="20"/>
              </w:rPr>
            </w:pPr>
            <w:proofErr w:type="spellStart"/>
            <w:r>
              <w:rPr>
                <w:rFonts w:ascii="Calibri" w:hAnsi="Calibri" w:cs="Calibri"/>
                <w:b/>
                <w:bCs/>
                <w:sz w:val="20"/>
                <w:szCs w:val="20"/>
              </w:rPr>
              <w:t>easyCBM</w:t>
            </w:r>
            <w:proofErr w:type="spellEnd"/>
            <w:r>
              <w:rPr>
                <w:rFonts w:ascii="Calibri" w:hAnsi="Calibri" w:cs="Calibri"/>
                <w:b/>
                <w:bCs/>
                <w:sz w:val="20"/>
                <w:szCs w:val="20"/>
              </w:rPr>
              <w:t>®</w:t>
            </w:r>
            <w:r w:rsidR="00B357A3" w:rsidRPr="006279A4">
              <w:rPr>
                <w:rFonts w:ascii="Calibri" w:hAnsi="Calibri" w:cs="Calibri"/>
                <w:b/>
                <w:bCs/>
                <w:sz w:val="20"/>
                <w:szCs w:val="20"/>
              </w:rPr>
              <w:t xml:space="preserve"> Sales (2012- 2025)</w:t>
            </w:r>
          </w:p>
        </w:tc>
      </w:tr>
    </w:tbl>
    <w:p w14:paraId="30E11BF9" w14:textId="77777777" w:rsidR="00B357A3" w:rsidRPr="00B357A3" w:rsidRDefault="00B357A3" w:rsidP="00B357A3">
      <w:pPr>
        <w:pStyle w:val="ListParagraph"/>
        <w:tabs>
          <w:tab w:val="left" w:pos="3240"/>
        </w:tabs>
        <w:spacing w:after="120"/>
        <w:ind w:left="360"/>
        <w:rPr>
          <w:rFonts w:ascii="Calibri" w:hAnsi="Calibri" w:cs="Calibri"/>
          <w:color w:val="212121"/>
          <w:sz w:val="20"/>
          <w:szCs w:val="20"/>
        </w:rPr>
      </w:pPr>
    </w:p>
    <w:tbl>
      <w:tblPr>
        <w:tblStyle w:val="TableGrid"/>
        <w:tblW w:w="8545" w:type="dxa"/>
        <w:tblInd w:w="360" w:type="dxa"/>
        <w:tblLayout w:type="fixed"/>
        <w:tblLook w:val="04A0" w:firstRow="1" w:lastRow="0" w:firstColumn="1" w:lastColumn="0" w:noHBand="0" w:noVBand="1"/>
      </w:tblPr>
      <w:tblGrid>
        <w:gridCol w:w="1705"/>
        <w:gridCol w:w="1890"/>
        <w:gridCol w:w="1440"/>
        <w:gridCol w:w="1710"/>
        <w:gridCol w:w="1800"/>
      </w:tblGrid>
      <w:tr w:rsidR="009B296D" w14:paraId="148AF6D7" w14:textId="2D451637" w:rsidTr="00467EC7">
        <w:tc>
          <w:tcPr>
            <w:tcW w:w="1705" w:type="dxa"/>
            <w:shd w:val="clear" w:color="auto" w:fill="DAE9F7" w:themeFill="text2" w:themeFillTint="1A"/>
            <w:vAlign w:val="bottom"/>
          </w:tcPr>
          <w:p w14:paraId="7A328715" w14:textId="4D6A4B83" w:rsidR="009B296D" w:rsidRPr="009B296D" w:rsidRDefault="009B296D" w:rsidP="006279A4">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b/>
                <w:bCs/>
                <w:color w:val="000000"/>
                <w:kern w:val="0"/>
                <w:sz w:val="20"/>
                <w:szCs w:val="20"/>
                <w14:ligatures w14:val="none"/>
              </w:rPr>
              <w:t>Source</w:t>
            </w:r>
          </w:p>
        </w:tc>
        <w:tc>
          <w:tcPr>
            <w:tcW w:w="1890" w:type="dxa"/>
            <w:shd w:val="clear" w:color="auto" w:fill="DAE9F7" w:themeFill="text2" w:themeFillTint="1A"/>
            <w:vAlign w:val="bottom"/>
          </w:tcPr>
          <w:p w14:paraId="7F753673" w14:textId="01DFC7D8" w:rsidR="009B296D" w:rsidRPr="009B296D" w:rsidRDefault="009B296D" w:rsidP="006279A4">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b/>
                <w:bCs/>
                <w:color w:val="000000"/>
                <w:kern w:val="0"/>
                <w:sz w:val="20"/>
                <w:szCs w:val="20"/>
                <w14:ligatures w14:val="none"/>
              </w:rPr>
              <w:t>Sum</w:t>
            </w:r>
          </w:p>
        </w:tc>
        <w:tc>
          <w:tcPr>
            <w:tcW w:w="1440" w:type="dxa"/>
            <w:shd w:val="clear" w:color="auto" w:fill="DAE9F7" w:themeFill="text2" w:themeFillTint="1A"/>
            <w:vAlign w:val="bottom"/>
          </w:tcPr>
          <w:p w14:paraId="4EB6C35A" w14:textId="095A2F5D" w:rsidR="009B296D" w:rsidRDefault="009B296D" w:rsidP="00190023">
            <w:pPr>
              <w:pStyle w:val="ListParagraph"/>
              <w:ind w:left="0"/>
              <w:jc w:val="center"/>
              <w:rPr>
                <w:rFonts w:ascii="Calibri" w:hAnsi="Calibri" w:cs="Calibri"/>
                <w:color w:val="212121"/>
              </w:rPr>
            </w:pPr>
            <w:r w:rsidRPr="009B296D">
              <w:rPr>
                <w:rFonts w:ascii="Calibri" w:eastAsia="Times New Roman" w:hAnsi="Calibri" w:cs="Calibri"/>
                <w:b/>
                <w:bCs/>
                <w:color w:val="000000"/>
                <w:kern w:val="0"/>
                <w:sz w:val="20"/>
                <w:szCs w:val="20"/>
                <w14:ligatures w14:val="none"/>
              </w:rPr>
              <w:t>Fiscal Year</w:t>
            </w:r>
          </w:p>
        </w:tc>
        <w:tc>
          <w:tcPr>
            <w:tcW w:w="1710" w:type="dxa"/>
            <w:shd w:val="clear" w:color="auto" w:fill="DAE9F7" w:themeFill="text2" w:themeFillTint="1A"/>
            <w:vAlign w:val="bottom"/>
          </w:tcPr>
          <w:p w14:paraId="54712AFC" w14:textId="11D52A82" w:rsidR="009B296D" w:rsidRDefault="009B296D" w:rsidP="006279A4">
            <w:pPr>
              <w:pStyle w:val="ListParagraph"/>
              <w:ind w:left="0"/>
              <w:jc w:val="center"/>
              <w:rPr>
                <w:rFonts w:ascii="Calibri" w:hAnsi="Calibri" w:cs="Calibri"/>
                <w:color w:val="212121"/>
              </w:rPr>
            </w:pPr>
            <w:r w:rsidRPr="009B296D">
              <w:rPr>
                <w:rFonts w:ascii="Calibri" w:hAnsi="Calibri" w:cs="Calibri"/>
                <w:b/>
                <w:bCs/>
                <w:color w:val="000000"/>
                <w:sz w:val="20"/>
                <w:szCs w:val="20"/>
              </w:rPr>
              <w:t>Deluxe</w:t>
            </w:r>
          </w:p>
        </w:tc>
        <w:tc>
          <w:tcPr>
            <w:tcW w:w="1800" w:type="dxa"/>
            <w:shd w:val="clear" w:color="auto" w:fill="DAE9F7" w:themeFill="text2" w:themeFillTint="1A"/>
          </w:tcPr>
          <w:p w14:paraId="4E721345" w14:textId="636711CE" w:rsidR="009B296D" w:rsidRDefault="009B296D" w:rsidP="006279A4">
            <w:pPr>
              <w:jc w:val="center"/>
              <w:rPr>
                <w:rFonts w:ascii="Calibri" w:hAnsi="Calibri" w:cs="Calibri"/>
                <w:color w:val="212121"/>
              </w:rPr>
            </w:pPr>
            <w:r w:rsidRPr="009B296D">
              <w:rPr>
                <w:rFonts w:ascii="Calibri" w:hAnsi="Calibri" w:cs="Calibri"/>
                <w:b/>
                <w:bCs/>
                <w:color w:val="000000"/>
                <w:sz w:val="20"/>
                <w:szCs w:val="20"/>
              </w:rPr>
              <w:t>District</w:t>
            </w:r>
          </w:p>
        </w:tc>
      </w:tr>
      <w:tr w:rsidR="009B296D" w14:paraId="541AEA2A" w14:textId="77777777" w:rsidTr="00467EC7">
        <w:tc>
          <w:tcPr>
            <w:tcW w:w="1705" w:type="dxa"/>
            <w:vAlign w:val="bottom"/>
          </w:tcPr>
          <w:p w14:paraId="051C840E" w14:textId="0102687D"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r w:rsidRPr="009B296D">
              <w:rPr>
                <w:rFonts w:ascii="Calibri" w:eastAsia="Times New Roman" w:hAnsi="Calibri" w:cs="Calibri"/>
                <w:color w:val="000000"/>
                <w:kern w:val="0"/>
                <w:sz w:val="20"/>
                <w:szCs w:val="20"/>
                <w14:ligatures w14:val="none"/>
              </w:rPr>
              <w:t>Contract</w:t>
            </w:r>
          </w:p>
        </w:tc>
        <w:tc>
          <w:tcPr>
            <w:tcW w:w="1890" w:type="dxa"/>
            <w:vAlign w:val="bottom"/>
          </w:tcPr>
          <w:p w14:paraId="3202C1C3" w14:textId="05955317" w:rsidR="009B296D" w:rsidRPr="009B296D" w:rsidRDefault="00317DE6" w:rsidP="00317DE6">
            <w:pPr>
              <w:pStyle w:val="ListParagraph"/>
              <w:tabs>
                <w:tab w:val="right" w:pos="1331"/>
              </w:tabs>
              <w:ind w:left="0"/>
              <w:rPr>
                <w:rFonts w:ascii="Calibri" w:eastAsia="Times New Roman" w:hAnsi="Calibri" w:cs="Calibri"/>
                <w:b/>
                <w:bCs/>
                <w:color w:val="000000"/>
                <w:kern w:val="0"/>
                <w:sz w:val="20"/>
                <w:szCs w:val="20"/>
                <w14:ligatures w14:val="none"/>
              </w:rPr>
            </w:pPr>
            <w:r>
              <w:rPr>
                <w:rFonts w:ascii="Calibri" w:eastAsia="Times New Roman" w:hAnsi="Calibri" w:cs="Calibri"/>
                <w:color w:val="000000"/>
                <w:kern w:val="0"/>
                <w:sz w:val="20"/>
                <w:szCs w:val="20"/>
                <w14:ligatures w14:val="none"/>
              </w:rPr>
              <w:tab/>
            </w:r>
            <w:r w:rsidR="009B296D" w:rsidRPr="009B296D">
              <w:rPr>
                <w:rFonts w:ascii="Calibri" w:eastAsia="Times New Roman" w:hAnsi="Calibri" w:cs="Calibri"/>
                <w:color w:val="000000"/>
                <w:kern w:val="0"/>
                <w:sz w:val="20"/>
                <w:szCs w:val="20"/>
                <w14:ligatures w14:val="none"/>
              </w:rPr>
              <w:t>$15,566,151</w:t>
            </w:r>
          </w:p>
        </w:tc>
        <w:tc>
          <w:tcPr>
            <w:tcW w:w="1440" w:type="dxa"/>
            <w:vAlign w:val="bottom"/>
          </w:tcPr>
          <w:p w14:paraId="2ED023EB" w14:textId="27963FD3" w:rsidR="009B296D" w:rsidRPr="009B296D" w:rsidRDefault="009B296D" w:rsidP="00190023">
            <w:pPr>
              <w:pStyle w:val="ListParagraph"/>
              <w:ind w:left="0"/>
              <w:jc w:val="center"/>
              <w:rPr>
                <w:rFonts w:ascii="Calibri" w:eastAsia="Times New Roman" w:hAnsi="Calibri" w:cs="Calibri"/>
                <w:b/>
                <w:bCs/>
                <w:color w:val="000000"/>
                <w:kern w:val="0"/>
                <w:sz w:val="20"/>
                <w:szCs w:val="20"/>
                <w14:ligatures w14:val="none"/>
              </w:rPr>
            </w:pPr>
            <w:r w:rsidRPr="009B296D">
              <w:rPr>
                <w:rFonts w:ascii="Calibri" w:eastAsia="Times New Roman" w:hAnsi="Calibri" w:cs="Calibri"/>
                <w:color w:val="000000"/>
                <w:kern w:val="0"/>
                <w:sz w:val="20"/>
                <w:szCs w:val="20"/>
                <w14:ligatures w14:val="none"/>
              </w:rPr>
              <w:t>FY12</w:t>
            </w:r>
          </w:p>
        </w:tc>
        <w:tc>
          <w:tcPr>
            <w:tcW w:w="1710" w:type="dxa"/>
            <w:vAlign w:val="bottom"/>
          </w:tcPr>
          <w:p w14:paraId="01FEAC31" w14:textId="77777777" w:rsidR="009B296D" w:rsidRPr="009B296D" w:rsidRDefault="009B296D" w:rsidP="009B296D">
            <w:pPr>
              <w:pStyle w:val="ListParagraph"/>
              <w:ind w:left="0"/>
              <w:rPr>
                <w:rFonts w:ascii="Calibri" w:hAnsi="Calibri" w:cs="Calibri"/>
                <w:b/>
                <w:bCs/>
                <w:color w:val="000000"/>
                <w:sz w:val="20"/>
                <w:szCs w:val="20"/>
              </w:rPr>
            </w:pPr>
          </w:p>
        </w:tc>
        <w:tc>
          <w:tcPr>
            <w:tcW w:w="1800" w:type="dxa"/>
            <w:vAlign w:val="bottom"/>
          </w:tcPr>
          <w:p w14:paraId="222081A9" w14:textId="4A1B5113" w:rsidR="009B296D" w:rsidRPr="009B296D" w:rsidRDefault="009B296D" w:rsidP="00467EC7">
            <w:pPr>
              <w:tabs>
                <w:tab w:val="decimal" w:pos="1237"/>
              </w:tabs>
              <w:rPr>
                <w:rFonts w:ascii="Calibri" w:hAnsi="Calibri" w:cs="Calibri"/>
                <w:b/>
                <w:bCs/>
                <w:color w:val="000000"/>
                <w:sz w:val="20"/>
                <w:szCs w:val="20"/>
              </w:rPr>
            </w:pPr>
            <w:r w:rsidRPr="009B296D">
              <w:rPr>
                <w:rFonts w:ascii="Calibri" w:hAnsi="Calibri" w:cs="Calibri"/>
                <w:color w:val="000000"/>
                <w:sz w:val="20"/>
                <w:szCs w:val="20"/>
              </w:rPr>
              <w:t>$54,510.92</w:t>
            </w:r>
          </w:p>
        </w:tc>
      </w:tr>
      <w:tr w:rsidR="009B296D" w14:paraId="6CD27F54" w14:textId="77777777" w:rsidTr="00467EC7">
        <w:tc>
          <w:tcPr>
            <w:tcW w:w="1705" w:type="dxa"/>
            <w:vAlign w:val="bottom"/>
          </w:tcPr>
          <w:p w14:paraId="3F070215" w14:textId="4837FB0A"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r w:rsidRPr="009B296D">
              <w:rPr>
                <w:rFonts w:ascii="Calibri" w:eastAsia="Times New Roman" w:hAnsi="Calibri" w:cs="Calibri"/>
                <w:color w:val="000000"/>
                <w:kern w:val="0"/>
                <w:sz w:val="20"/>
                <w:szCs w:val="20"/>
                <w14:ligatures w14:val="none"/>
              </w:rPr>
              <w:t>Research</w:t>
            </w:r>
          </w:p>
        </w:tc>
        <w:tc>
          <w:tcPr>
            <w:tcW w:w="1890" w:type="dxa"/>
            <w:vAlign w:val="bottom"/>
          </w:tcPr>
          <w:p w14:paraId="0AE7AC6F" w14:textId="4CA139F3" w:rsidR="009B296D" w:rsidRPr="009B296D" w:rsidRDefault="00317DE6" w:rsidP="00317DE6">
            <w:pPr>
              <w:pStyle w:val="ListParagraph"/>
              <w:tabs>
                <w:tab w:val="right" w:pos="1331"/>
              </w:tabs>
              <w:ind w:left="0"/>
              <w:rPr>
                <w:rFonts w:ascii="Calibri" w:eastAsia="Times New Roman" w:hAnsi="Calibri" w:cs="Calibri"/>
                <w:b/>
                <w:bCs/>
                <w:color w:val="000000"/>
                <w:kern w:val="0"/>
                <w:sz w:val="20"/>
                <w:szCs w:val="20"/>
                <w14:ligatures w14:val="none"/>
              </w:rPr>
            </w:pPr>
            <w:r>
              <w:rPr>
                <w:rFonts w:ascii="Calibri" w:eastAsia="Times New Roman" w:hAnsi="Calibri" w:cs="Calibri"/>
                <w:color w:val="000000"/>
                <w:kern w:val="0"/>
                <w:sz w:val="20"/>
                <w:szCs w:val="20"/>
                <w14:ligatures w14:val="none"/>
              </w:rPr>
              <w:tab/>
            </w:r>
            <w:r w:rsidR="009B296D" w:rsidRPr="009B296D">
              <w:rPr>
                <w:rFonts w:ascii="Calibri" w:eastAsia="Times New Roman" w:hAnsi="Calibri" w:cs="Calibri"/>
                <w:color w:val="000000"/>
                <w:kern w:val="0"/>
                <w:sz w:val="20"/>
                <w:szCs w:val="20"/>
                <w14:ligatures w14:val="none"/>
              </w:rPr>
              <w:t>$36,251,113</w:t>
            </w:r>
          </w:p>
        </w:tc>
        <w:tc>
          <w:tcPr>
            <w:tcW w:w="1440" w:type="dxa"/>
            <w:vAlign w:val="bottom"/>
          </w:tcPr>
          <w:p w14:paraId="74CED8C4" w14:textId="626BB944"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FY13</w:t>
            </w:r>
          </w:p>
        </w:tc>
        <w:tc>
          <w:tcPr>
            <w:tcW w:w="1710" w:type="dxa"/>
            <w:vAlign w:val="bottom"/>
          </w:tcPr>
          <w:p w14:paraId="3E5ECB1E" w14:textId="77777777" w:rsidR="009B296D" w:rsidRPr="009B296D" w:rsidRDefault="009B296D" w:rsidP="009B296D">
            <w:pPr>
              <w:pStyle w:val="ListParagraph"/>
              <w:ind w:left="0"/>
              <w:rPr>
                <w:rFonts w:ascii="Calibri" w:hAnsi="Calibri" w:cs="Calibri"/>
                <w:b/>
                <w:bCs/>
                <w:color w:val="000000"/>
                <w:sz w:val="20"/>
                <w:szCs w:val="20"/>
              </w:rPr>
            </w:pPr>
          </w:p>
        </w:tc>
        <w:tc>
          <w:tcPr>
            <w:tcW w:w="1800" w:type="dxa"/>
            <w:vAlign w:val="bottom"/>
          </w:tcPr>
          <w:p w14:paraId="55A317BD" w14:textId="59AF5A5D"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$93,645.45</w:t>
            </w:r>
          </w:p>
        </w:tc>
      </w:tr>
      <w:tr w:rsidR="009B296D" w14:paraId="372AD7B5" w14:textId="77777777" w:rsidTr="00467EC7">
        <w:tc>
          <w:tcPr>
            <w:tcW w:w="1705" w:type="dxa"/>
            <w:vAlign w:val="bottom"/>
          </w:tcPr>
          <w:p w14:paraId="37CCEF95" w14:textId="607D5CB8"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r w:rsidRPr="009B296D">
              <w:rPr>
                <w:rFonts w:ascii="Calibri" w:eastAsia="Times New Roman" w:hAnsi="Calibri" w:cs="Calibri"/>
                <w:color w:val="000000"/>
                <w:kern w:val="0"/>
                <w:sz w:val="20"/>
                <w:szCs w:val="20"/>
                <w14:ligatures w14:val="none"/>
              </w:rPr>
              <w:t>Training</w:t>
            </w:r>
          </w:p>
        </w:tc>
        <w:tc>
          <w:tcPr>
            <w:tcW w:w="1890" w:type="dxa"/>
            <w:vAlign w:val="bottom"/>
          </w:tcPr>
          <w:p w14:paraId="4C0FE77E" w14:textId="6038F9A4" w:rsidR="009B296D" w:rsidRPr="009B296D" w:rsidRDefault="00317DE6" w:rsidP="00317DE6">
            <w:pPr>
              <w:pStyle w:val="ListParagraph"/>
              <w:tabs>
                <w:tab w:val="right" w:pos="1331"/>
              </w:tabs>
              <w:ind w:left="0"/>
              <w:rPr>
                <w:rFonts w:ascii="Calibri" w:eastAsia="Times New Roman" w:hAnsi="Calibri" w:cs="Calibri"/>
                <w:b/>
                <w:bCs/>
                <w:color w:val="000000"/>
                <w:kern w:val="0"/>
                <w:sz w:val="20"/>
                <w:szCs w:val="20"/>
                <w14:ligatures w14:val="none"/>
              </w:rPr>
            </w:pPr>
            <w:r>
              <w:rPr>
                <w:rFonts w:ascii="Calibri" w:eastAsia="Times New Roman" w:hAnsi="Calibri" w:cs="Calibri"/>
                <w:color w:val="000000"/>
                <w:kern w:val="0"/>
                <w:sz w:val="20"/>
                <w:szCs w:val="20"/>
                <w14:ligatures w14:val="none"/>
              </w:rPr>
              <w:tab/>
            </w:r>
            <w:r w:rsidR="009B296D" w:rsidRPr="009B296D">
              <w:rPr>
                <w:rFonts w:ascii="Calibri" w:eastAsia="Times New Roman" w:hAnsi="Calibri" w:cs="Calibri"/>
                <w:color w:val="000000"/>
                <w:kern w:val="0"/>
                <w:sz w:val="20"/>
                <w:szCs w:val="20"/>
                <w14:ligatures w14:val="none"/>
              </w:rPr>
              <w:t>$8,918,781</w:t>
            </w:r>
          </w:p>
        </w:tc>
        <w:tc>
          <w:tcPr>
            <w:tcW w:w="1440" w:type="dxa"/>
            <w:vAlign w:val="bottom"/>
          </w:tcPr>
          <w:p w14:paraId="1930A7BD" w14:textId="01A21E6A"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FY14</w:t>
            </w:r>
          </w:p>
        </w:tc>
        <w:tc>
          <w:tcPr>
            <w:tcW w:w="1710" w:type="dxa"/>
            <w:vAlign w:val="bottom"/>
          </w:tcPr>
          <w:p w14:paraId="7A9FC4C4" w14:textId="77777777" w:rsidR="009B296D" w:rsidRPr="009B296D" w:rsidRDefault="009B296D" w:rsidP="009B296D">
            <w:pPr>
              <w:pStyle w:val="ListParagraph"/>
              <w:ind w:left="0"/>
              <w:rPr>
                <w:rFonts w:ascii="Calibri" w:hAnsi="Calibri" w:cs="Calibri"/>
                <w:b/>
                <w:bCs/>
                <w:color w:val="000000"/>
                <w:sz w:val="20"/>
                <w:szCs w:val="20"/>
              </w:rPr>
            </w:pPr>
          </w:p>
        </w:tc>
        <w:tc>
          <w:tcPr>
            <w:tcW w:w="1800" w:type="dxa"/>
            <w:vAlign w:val="bottom"/>
          </w:tcPr>
          <w:p w14:paraId="5E4C7B80" w14:textId="43756BF3"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$174,094.76</w:t>
            </w:r>
          </w:p>
        </w:tc>
      </w:tr>
      <w:tr w:rsidR="009B296D" w14:paraId="52ADB085" w14:textId="77777777" w:rsidTr="00467EC7">
        <w:tc>
          <w:tcPr>
            <w:tcW w:w="1705" w:type="dxa"/>
            <w:shd w:val="clear" w:color="auto" w:fill="DAE9F7" w:themeFill="text2" w:themeFillTint="1A"/>
            <w:vAlign w:val="bottom"/>
          </w:tcPr>
          <w:p w14:paraId="03BCFA56" w14:textId="6E064E6C"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r w:rsidRPr="009B296D">
              <w:rPr>
                <w:rFonts w:ascii="Calibri" w:eastAsia="Times New Roman" w:hAnsi="Calibri" w:cs="Calibri"/>
                <w:b/>
                <w:bCs/>
                <w:color w:val="000000"/>
                <w:kern w:val="0"/>
                <w:sz w:val="20"/>
                <w:szCs w:val="20"/>
                <w14:ligatures w14:val="none"/>
              </w:rPr>
              <w:t>Grand Total</w:t>
            </w:r>
          </w:p>
        </w:tc>
        <w:tc>
          <w:tcPr>
            <w:tcW w:w="1890" w:type="dxa"/>
            <w:shd w:val="clear" w:color="auto" w:fill="DAE9F7" w:themeFill="text2" w:themeFillTint="1A"/>
            <w:vAlign w:val="bottom"/>
          </w:tcPr>
          <w:p w14:paraId="03DC6C18" w14:textId="04CDE4AB" w:rsidR="009B296D" w:rsidRPr="009B296D" w:rsidRDefault="00317DE6" w:rsidP="00317DE6">
            <w:pPr>
              <w:pStyle w:val="ListParagraph"/>
              <w:tabs>
                <w:tab w:val="right" w:pos="1331"/>
              </w:tabs>
              <w:ind w:left="0"/>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ab/>
            </w:r>
            <w:r w:rsidR="009B296D" w:rsidRPr="009B296D">
              <w:rPr>
                <w:rFonts w:ascii="Calibri" w:eastAsia="Times New Roman" w:hAnsi="Calibri" w:cs="Calibri"/>
                <w:b/>
                <w:bCs/>
                <w:color w:val="000000"/>
                <w:kern w:val="0"/>
                <w:sz w:val="20"/>
                <w:szCs w:val="20"/>
                <w14:ligatures w14:val="none"/>
              </w:rPr>
              <w:t>$60,736,045</w:t>
            </w:r>
          </w:p>
        </w:tc>
        <w:tc>
          <w:tcPr>
            <w:tcW w:w="1440" w:type="dxa"/>
            <w:vAlign w:val="bottom"/>
          </w:tcPr>
          <w:p w14:paraId="3A2B86B2" w14:textId="6C59CA23"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FY15</w:t>
            </w:r>
          </w:p>
        </w:tc>
        <w:tc>
          <w:tcPr>
            <w:tcW w:w="1710" w:type="dxa"/>
            <w:vAlign w:val="bottom"/>
          </w:tcPr>
          <w:p w14:paraId="32DB3A6C" w14:textId="77777777" w:rsidR="009B296D" w:rsidRPr="009B296D" w:rsidRDefault="009B296D" w:rsidP="009B296D">
            <w:pPr>
              <w:pStyle w:val="ListParagraph"/>
              <w:ind w:left="0"/>
              <w:rPr>
                <w:rFonts w:ascii="Calibri" w:hAnsi="Calibri" w:cs="Calibri"/>
                <w:b/>
                <w:bCs/>
                <w:color w:val="000000"/>
                <w:sz w:val="20"/>
                <w:szCs w:val="20"/>
              </w:rPr>
            </w:pPr>
          </w:p>
        </w:tc>
        <w:tc>
          <w:tcPr>
            <w:tcW w:w="1800" w:type="dxa"/>
            <w:vAlign w:val="bottom"/>
          </w:tcPr>
          <w:p w14:paraId="1F5D2052" w14:textId="4BAC892A"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$291,332.55</w:t>
            </w:r>
          </w:p>
        </w:tc>
      </w:tr>
      <w:tr w:rsidR="009B296D" w14:paraId="7C59E4BD" w14:textId="77777777" w:rsidTr="00467EC7">
        <w:tc>
          <w:tcPr>
            <w:tcW w:w="1705" w:type="dxa"/>
            <w:vAlign w:val="bottom"/>
          </w:tcPr>
          <w:p w14:paraId="47D2BE3B"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7AD8C50E"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690CB24E" w14:textId="1FA91F99"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FY16</w:t>
            </w:r>
          </w:p>
        </w:tc>
        <w:tc>
          <w:tcPr>
            <w:tcW w:w="1710" w:type="dxa"/>
            <w:vAlign w:val="bottom"/>
          </w:tcPr>
          <w:p w14:paraId="27213CB8" w14:textId="362DEA81" w:rsidR="009B296D" w:rsidRPr="009B296D" w:rsidRDefault="009B296D" w:rsidP="009B296D">
            <w:pPr>
              <w:pStyle w:val="ListParagraph"/>
              <w:ind w:left="0"/>
              <w:rPr>
                <w:rFonts w:ascii="Calibri" w:hAnsi="Calibri" w:cs="Calibri"/>
                <w:b/>
                <w:bCs/>
                <w:color w:val="000000"/>
                <w:sz w:val="20"/>
                <w:szCs w:val="20"/>
              </w:rPr>
            </w:pPr>
            <w:r w:rsidRPr="009B296D">
              <w:rPr>
                <w:rFonts w:ascii="Calibri" w:hAnsi="Calibri" w:cs="Calibri"/>
                <w:color w:val="000000"/>
                <w:sz w:val="20"/>
                <w:szCs w:val="20"/>
              </w:rPr>
              <w:t xml:space="preserve">      $138,284.43 </w:t>
            </w:r>
          </w:p>
        </w:tc>
        <w:tc>
          <w:tcPr>
            <w:tcW w:w="1800" w:type="dxa"/>
            <w:vAlign w:val="bottom"/>
          </w:tcPr>
          <w:p w14:paraId="41232547" w14:textId="1A8A1A00"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$419,465.75</w:t>
            </w:r>
          </w:p>
        </w:tc>
      </w:tr>
      <w:tr w:rsidR="009B296D" w14:paraId="2261729C" w14:textId="77777777" w:rsidTr="00467EC7">
        <w:tc>
          <w:tcPr>
            <w:tcW w:w="1705" w:type="dxa"/>
            <w:vAlign w:val="bottom"/>
          </w:tcPr>
          <w:p w14:paraId="1AD89B07"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02C00C7A"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1CAB48E3" w14:textId="0F76821F"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FY17</w:t>
            </w:r>
          </w:p>
        </w:tc>
        <w:tc>
          <w:tcPr>
            <w:tcW w:w="1710" w:type="dxa"/>
            <w:vAlign w:val="bottom"/>
          </w:tcPr>
          <w:p w14:paraId="7217F884" w14:textId="506AA29F"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$214,786.29 </w:t>
            </w:r>
          </w:p>
        </w:tc>
        <w:tc>
          <w:tcPr>
            <w:tcW w:w="1800" w:type="dxa"/>
            <w:vAlign w:val="bottom"/>
          </w:tcPr>
          <w:p w14:paraId="1CA5DECF" w14:textId="25ED92EB"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$396,160.79</w:t>
            </w:r>
          </w:p>
        </w:tc>
      </w:tr>
      <w:tr w:rsidR="009B296D" w14:paraId="30E2BDBB" w14:textId="77777777" w:rsidTr="00467EC7">
        <w:tc>
          <w:tcPr>
            <w:tcW w:w="1705" w:type="dxa"/>
            <w:vAlign w:val="bottom"/>
          </w:tcPr>
          <w:p w14:paraId="2271BD9C"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0083D26E"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5C2C87BF" w14:textId="05957BE4"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FY18</w:t>
            </w:r>
          </w:p>
        </w:tc>
        <w:tc>
          <w:tcPr>
            <w:tcW w:w="1710" w:type="dxa"/>
            <w:vAlign w:val="bottom"/>
          </w:tcPr>
          <w:p w14:paraId="336096A9" w14:textId="52BE7BD8"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$242,859.27 </w:t>
            </w:r>
          </w:p>
        </w:tc>
        <w:tc>
          <w:tcPr>
            <w:tcW w:w="1800" w:type="dxa"/>
            <w:vAlign w:val="bottom"/>
          </w:tcPr>
          <w:p w14:paraId="1B80A265" w14:textId="70A1F923"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$492,722.28</w:t>
            </w:r>
          </w:p>
        </w:tc>
      </w:tr>
      <w:tr w:rsidR="009B296D" w14:paraId="4C97086F" w14:textId="77777777" w:rsidTr="00467EC7">
        <w:tc>
          <w:tcPr>
            <w:tcW w:w="1705" w:type="dxa"/>
            <w:vAlign w:val="bottom"/>
          </w:tcPr>
          <w:p w14:paraId="44EB5398"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12F2B57B"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0428D933" w14:textId="592B5E18"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FY19</w:t>
            </w:r>
          </w:p>
        </w:tc>
        <w:tc>
          <w:tcPr>
            <w:tcW w:w="1710" w:type="dxa"/>
            <w:vAlign w:val="bottom"/>
          </w:tcPr>
          <w:p w14:paraId="2E211EC5" w14:textId="6FC59B67"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$268,172.94 </w:t>
            </w:r>
          </w:p>
        </w:tc>
        <w:tc>
          <w:tcPr>
            <w:tcW w:w="1800" w:type="dxa"/>
            <w:vAlign w:val="bottom"/>
          </w:tcPr>
          <w:p w14:paraId="47A6299B" w14:textId="0AE7B2B6"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$475,370.16</w:t>
            </w:r>
          </w:p>
        </w:tc>
      </w:tr>
      <w:tr w:rsidR="009B296D" w14:paraId="0125FBE4" w14:textId="77777777" w:rsidTr="00467EC7">
        <w:tc>
          <w:tcPr>
            <w:tcW w:w="1705" w:type="dxa"/>
            <w:vAlign w:val="bottom"/>
          </w:tcPr>
          <w:p w14:paraId="520D7D37"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6A897AAC"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37341491" w14:textId="293D0118"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FY20</w:t>
            </w:r>
          </w:p>
        </w:tc>
        <w:tc>
          <w:tcPr>
            <w:tcW w:w="1710" w:type="dxa"/>
            <w:vAlign w:val="bottom"/>
          </w:tcPr>
          <w:p w14:paraId="6405D0B8" w14:textId="245FB017"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$297,245.67 </w:t>
            </w:r>
          </w:p>
        </w:tc>
        <w:tc>
          <w:tcPr>
            <w:tcW w:w="1800" w:type="dxa"/>
            <w:vAlign w:val="bottom"/>
          </w:tcPr>
          <w:p w14:paraId="4E251F13" w14:textId="3DCD3527"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 xml:space="preserve">$513,114.78 </w:t>
            </w:r>
          </w:p>
        </w:tc>
      </w:tr>
      <w:tr w:rsidR="009B296D" w14:paraId="7361FBEF" w14:textId="77777777" w:rsidTr="00467EC7">
        <w:tc>
          <w:tcPr>
            <w:tcW w:w="1705" w:type="dxa"/>
            <w:vAlign w:val="bottom"/>
          </w:tcPr>
          <w:p w14:paraId="7E390151"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6BF46D85"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1B1A7324" w14:textId="110AF11E"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FY21</w:t>
            </w:r>
          </w:p>
        </w:tc>
        <w:tc>
          <w:tcPr>
            <w:tcW w:w="1710" w:type="dxa"/>
            <w:vAlign w:val="bottom"/>
          </w:tcPr>
          <w:p w14:paraId="60BFEE3D" w14:textId="6BD0D7F3"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$342,394.38 </w:t>
            </w:r>
          </w:p>
        </w:tc>
        <w:tc>
          <w:tcPr>
            <w:tcW w:w="1800" w:type="dxa"/>
            <w:vAlign w:val="bottom"/>
          </w:tcPr>
          <w:p w14:paraId="3E2382E9" w14:textId="45F96D21"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$488,553.45</w:t>
            </w:r>
          </w:p>
        </w:tc>
      </w:tr>
      <w:tr w:rsidR="009B296D" w14:paraId="4708974F" w14:textId="77777777" w:rsidTr="00467EC7">
        <w:tc>
          <w:tcPr>
            <w:tcW w:w="1705" w:type="dxa"/>
            <w:vAlign w:val="bottom"/>
          </w:tcPr>
          <w:p w14:paraId="477A78F3"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407EDDC4"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5E0E79B9" w14:textId="2FA184B9"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FY22</w:t>
            </w:r>
          </w:p>
        </w:tc>
        <w:tc>
          <w:tcPr>
            <w:tcW w:w="1710" w:type="dxa"/>
            <w:vAlign w:val="bottom"/>
          </w:tcPr>
          <w:p w14:paraId="6C60A005" w14:textId="626D6A92"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$386,142.64 </w:t>
            </w:r>
          </w:p>
        </w:tc>
        <w:tc>
          <w:tcPr>
            <w:tcW w:w="1800" w:type="dxa"/>
            <w:vAlign w:val="bottom"/>
          </w:tcPr>
          <w:p w14:paraId="51E7DCA5" w14:textId="1A9E5A2D"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$665,091.93</w:t>
            </w:r>
          </w:p>
        </w:tc>
      </w:tr>
      <w:tr w:rsidR="009B296D" w14:paraId="03EB35ED" w14:textId="77777777" w:rsidTr="00467EC7">
        <w:tc>
          <w:tcPr>
            <w:tcW w:w="1705" w:type="dxa"/>
            <w:vAlign w:val="bottom"/>
          </w:tcPr>
          <w:p w14:paraId="4054469C"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7C25B7CB"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4E08E0E1" w14:textId="71807B31"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FY23</w:t>
            </w:r>
          </w:p>
        </w:tc>
        <w:tc>
          <w:tcPr>
            <w:tcW w:w="1710" w:type="dxa"/>
            <w:vAlign w:val="bottom"/>
          </w:tcPr>
          <w:p w14:paraId="45A7F46D" w14:textId="69030C8C"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$358,877.20 </w:t>
            </w:r>
          </w:p>
        </w:tc>
        <w:tc>
          <w:tcPr>
            <w:tcW w:w="1800" w:type="dxa"/>
            <w:vAlign w:val="bottom"/>
          </w:tcPr>
          <w:p w14:paraId="5758C786" w14:textId="3505398A"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$610,921.95</w:t>
            </w:r>
          </w:p>
        </w:tc>
      </w:tr>
      <w:tr w:rsidR="009B296D" w14:paraId="3078BD51" w14:textId="77777777" w:rsidTr="00467EC7">
        <w:tc>
          <w:tcPr>
            <w:tcW w:w="1705" w:type="dxa"/>
            <w:vAlign w:val="bottom"/>
          </w:tcPr>
          <w:p w14:paraId="3D78ABD3"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596487E8"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00BEA959" w14:textId="23039C4D"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FY24</w:t>
            </w:r>
          </w:p>
        </w:tc>
        <w:tc>
          <w:tcPr>
            <w:tcW w:w="1710" w:type="dxa"/>
            <w:vAlign w:val="bottom"/>
          </w:tcPr>
          <w:p w14:paraId="2D737B8C" w14:textId="5C900193"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$324,185.15 </w:t>
            </w:r>
          </w:p>
        </w:tc>
        <w:tc>
          <w:tcPr>
            <w:tcW w:w="1800" w:type="dxa"/>
            <w:vAlign w:val="bottom"/>
          </w:tcPr>
          <w:p w14:paraId="425776E3" w14:textId="1B9948CF"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$538,094.02</w:t>
            </w:r>
          </w:p>
        </w:tc>
      </w:tr>
      <w:tr w:rsidR="009B296D" w14:paraId="6980960B" w14:textId="77777777" w:rsidTr="00467EC7">
        <w:tc>
          <w:tcPr>
            <w:tcW w:w="1705" w:type="dxa"/>
            <w:vAlign w:val="bottom"/>
          </w:tcPr>
          <w:p w14:paraId="69005214"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4C59A8A6"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vAlign w:val="bottom"/>
          </w:tcPr>
          <w:p w14:paraId="26A7CAEA" w14:textId="05092015"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color w:val="000000"/>
                <w:kern w:val="0"/>
                <w:sz w:val="20"/>
                <w:szCs w:val="20"/>
                <w14:ligatures w14:val="none"/>
              </w:rPr>
              <w:t>FY25</w:t>
            </w:r>
          </w:p>
        </w:tc>
        <w:tc>
          <w:tcPr>
            <w:tcW w:w="1710" w:type="dxa"/>
            <w:vAlign w:val="bottom"/>
          </w:tcPr>
          <w:p w14:paraId="0E2027FC" w14:textId="4A208851"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color w:val="000000"/>
                <w:sz w:val="20"/>
                <w:szCs w:val="20"/>
              </w:rPr>
              <w:t xml:space="preserve">      $333,733.24 </w:t>
            </w:r>
          </w:p>
        </w:tc>
        <w:tc>
          <w:tcPr>
            <w:tcW w:w="1800" w:type="dxa"/>
            <w:vAlign w:val="bottom"/>
          </w:tcPr>
          <w:p w14:paraId="02AAB223" w14:textId="5D1A583A"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color w:val="000000"/>
                <w:sz w:val="20"/>
                <w:szCs w:val="20"/>
              </w:rPr>
              <w:t>$623,101.99</w:t>
            </w:r>
          </w:p>
        </w:tc>
      </w:tr>
      <w:tr w:rsidR="009B296D" w14:paraId="262A7CFA" w14:textId="77777777" w:rsidTr="00467EC7">
        <w:tc>
          <w:tcPr>
            <w:tcW w:w="1705" w:type="dxa"/>
            <w:vAlign w:val="bottom"/>
          </w:tcPr>
          <w:p w14:paraId="59E79102"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890" w:type="dxa"/>
            <w:vAlign w:val="bottom"/>
          </w:tcPr>
          <w:p w14:paraId="23B2EF5E" w14:textId="77777777" w:rsidR="009B296D" w:rsidRPr="009B296D" w:rsidRDefault="009B296D" w:rsidP="009B296D">
            <w:pPr>
              <w:pStyle w:val="ListParagraph"/>
              <w:ind w:left="0"/>
              <w:rPr>
                <w:rFonts w:ascii="Calibri" w:eastAsia="Times New Roman" w:hAnsi="Calibri" w:cs="Calibri"/>
                <w:b/>
                <w:bCs/>
                <w:color w:val="000000"/>
                <w:kern w:val="0"/>
                <w:sz w:val="20"/>
                <w:szCs w:val="20"/>
                <w14:ligatures w14:val="none"/>
              </w:rPr>
            </w:pPr>
          </w:p>
        </w:tc>
        <w:tc>
          <w:tcPr>
            <w:tcW w:w="1440" w:type="dxa"/>
            <w:shd w:val="clear" w:color="auto" w:fill="DAE9F7" w:themeFill="text2" w:themeFillTint="1A"/>
            <w:vAlign w:val="bottom"/>
          </w:tcPr>
          <w:p w14:paraId="2295A35F" w14:textId="47094488" w:rsidR="009B296D" w:rsidRPr="009B296D" w:rsidRDefault="009B296D" w:rsidP="00190023">
            <w:pPr>
              <w:pStyle w:val="ListParagraph"/>
              <w:ind w:left="0"/>
              <w:jc w:val="center"/>
              <w:rPr>
                <w:rFonts w:ascii="Calibri" w:eastAsia="Times New Roman" w:hAnsi="Calibri" w:cs="Calibri"/>
                <w:color w:val="000000"/>
                <w:kern w:val="0"/>
                <w:sz w:val="20"/>
                <w:szCs w:val="20"/>
                <w14:ligatures w14:val="none"/>
              </w:rPr>
            </w:pPr>
            <w:r w:rsidRPr="009B296D">
              <w:rPr>
                <w:rFonts w:ascii="Calibri" w:eastAsia="Times New Roman" w:hAnsi="Calibri" w:cs="Calibri"/>
                <w:b/>
                <w:bCs/>
                <w:color w:val="000000"/>
                <w:kern w:val="0"/>
                <w:sz w:val="20"/>
                <w:szCs w:val="20"/>
                <w14:ligatures w14:val="none"/>
              </w:rPr>
              <w:t>Grand Total</w:t>
            </w:r>
          </w:p>
        </w:tc>
        <w:tc>
          <w:tcPr>
            <w:tcW w:w="1710" w:type="dxa"/>
            <w:shd w:val="clear" w:color="auto" w:fill="DAE9F7" w:themeFill="text2" w:themeFillTint="1A"/>
            <w:vAlign w:val="bottom"/>
          </w:tcPr>
          <w:p w14:paraId="61A92C28" w14:textId="4996FAB6" w:rsidR="009B296D" w:rsidRPr="009B296D" w:rsidRDefault="009B296D" w:rsidP="009B296D">
            <w:pPr>
              <w:pStyle w:val="ListParagraph"/>
              <w:ind w:left="0"/>
              <w:rPr>
                <w:rFonts w:ascii="Calibri" w:hAnsi="Calibri" w:cs="Calibri"/>
                <w:color w:val="000000"/>
                <w:sz w:val="20"/>
                <w:szCs w:val="20"/>
              </w:rPr>
            </w:pPr>
            <w:r w:rsidRPr="009B296D">
              <w:rPr>
                <w:rFonts w:ascii="Calibri" w:hAnsi="Calibri" w:cs="Calibri"/>
                <w:b/>
                <w:bCs/>
                <w:color w:val="000000"/>
                <w:sz w:val="20"/>
                <w:szCs w:val="20"/>
              </w:rPr>
              <w:t xml:space="preserve">   $2,906,681.21 </w:t>
            </w:r>
          </w:p>
        </w:tc>
        <w:tc>
          <w:tcPr>
            <w:tcW w:w="1800" w:type="dxa"/>
            <w:shd w:val="clear" w:color="auto" w:fill="DAE9F7" w:themeFill="text2" w:themeFillTint="1A"/>
            <w:vAlign w:val="bottom"/>
          </w:tcPr>
          <w:p w14:paraId="320FE0A9" w14:textId="401CE1C6" w:rsidR="009B296D" w:rsidRPr="009B296D" w:rsidRDefault="009B296D" w:rsidP="00467EC7">
            <w:pPr>
              <w:tabs>
                <w:tab w:val="decimal" w:pos="1237"/>
              </w:tabs>
              <w:rPr>
                <w:rFonts w:ascii="Calibri" w:hAnsi="Calibri" w:cs="Calibri"/>
                <w:color w:val="000000"/>
                <w:sz w:val="20"/>
                <w:szCs w:val="20"/>
              </w:rPr>
            </w:pPr>
            <w:r w:rsidRPr="009B296D">
              <w:rPr>
                <w:rFonts w:ascii="Calibri" w:hAnsi="Calibri" w:cs="Calibri"/>
                <w:b/>
                <w:bCs/>
                <w:color w:val="000000"/>
                <w:sz w:val="20"/>
                <w:szCs w:val="20"/>
              </w:rPr>
              <w:t>$5,836,180.78</w:t>
            </w:r>
          </w:p>
        </w:tc>
      </w:tr>
    </w:tbl>
    <w:p w14:paraId="3C9BF814" w14:textId="77777777" w:rsidR="009B296D" w:rsidRPr="006F65E2" w:rsidRDefault="009B296D" w:rsidP="00B33B88">
      <w:pPr>
        <w:pStyle w:val="ListParagraph"/>
        <w:ind w:left="360"/>
        <w:rPr>
          <w:rFonts w:ascii="Calibri" w:hAnsi="Calibri" w:cs="Calibri"/>
          <w:color w:val="212121"/>
        </w:rPr>
      </w:pPr>
    </w:p>
    <w:p w14:paraId="0DD07EF1" w14:textId="77777777" w:rsidR="00B33B88" w:rsidRPr="009B296D" w:rsidRDefault="00B33B88" w:rsidP="00B33B88">
      <w:pPr>
        <w:rPr>
          <w:rFonts w:ascii="Calibri" w:hAnsi="Calibri" w:cs="Calibri"/>
          <w:sz w:val="20"/>
          <w:szCs w:val="20"/>
        </w:rPr>
      </w:pPr>
    </w:p>
    <w:sectPr w:rsidR="00B33B88" w:rsidRPr="009B296D" w:rsidSect="00DE7185">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DF3B" w14:textId="77777777" w:rsidR="00372FB4" w:rsidRDefault="00372FB4" w:rsidP="004175BA">
      <w:r>
        <w:separator/>
      </w:r>
    </w:p>
  </w:endnote>
  <w:endnote w:type="continuationSeparator" w:id="0">
    <w:p w14:paraId="1D6A3CFD" w14:textId="77777777" w:rsidR="00372FB4" w:rsidRDefault="00372FB4" w:rsidP="0041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85B7" w14:textId="77777777" w:rsidR="00372FB4" w:rsidRDefault="00372FB4" w:rsidP="004175BA">
      <w:r>
        <w:separator/>
      </w:r>
    </w:p>
  </w:footnote>
  <w:footnote w:type="continuationSeparator" w:id="0">
    <w:p w14:paraId="0BAF9A29" w14:textId="77777777" w:rsidR="00372FB4" w:rsidRDefault="00372FB4" w:rsidP="0041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495276"/>
      <w:docPartObj>
        <w:docPartGallery w:val="Page Numbers (Top of Page)"/>
        <w:docPartUnique/>
      </w:docPartObj>
    </w:sdtPr>
    <w:sdtContent>
      <w:p w14:paraId="0C3D4B13" w14:textId="1219021E" w:rsidR="004175BA" w:rsidRDefault="004175BA" w:rsidP="00B677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A239F8" w14:textId="77777777" w:rsidR="004175BA" w:rsidRDefault="004175BA" w:rsidP="004175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20"/>
        <w:szCs w:val="20"/>
      </w:rPr>
      <w:id w:val="272822382"/>
      <w:docPartObj>
        <w:docPartGallery w:val="Page Numbers (Top of Page)"/>
        <w:docPartUnique/>
      </w:docPartObj>
    </w:sdtPr>
    <w:sdtContent>
      <w:p w14:paraId="638E2BC8" w14:textId="0B4A3285" w:rsidR="004175BA" w:rsidRPr="004175BA" w:rsidRDefault="004175BA" w:rsidP="00B6772B">
        <w:pPr>
          <w:pStyle w:val="Header"/>
          <w:framePr w:wrap="none" w:vAnchor="text" w:hAnchor="margin" w:xAlign="right" w:y="1"/>
          <w:rPr>
            <w:rStyle w:val="PageNumber"/>
            <w:rFonts w:ascii="Calibri" w:hAnsi="Calibri" w:cs="Calibri"/>
            <w:sz w:val="20"/>
            <w:szCs w:val="20"/>
          </w:rPr>
        </w:pPr>
        <w:r w:rsidRPr="004175BA">
          <w:rPr>
            <w:rStyle w:val="PageNumber"/>
            <w:rFonts w:ascii="Calibri" w:hAnsi="Calibri" w:cs="Calibri"/>
            <w:sz w:val="20"/>
            <w:szCs w:val="20"/>
          </w:rPr>
          <w:fldChar w:fldCharType="begin"/>
        </w:r>
        <w:r w:rsidRPr="004175BA">
          <w:rPr>
            <w:rStyle w:val="PageNumber"/>
            <w:rFonts w:ascii="Calibri" w:hAnsi="Calibri" w:cs="Calibri"/>
            <w:sz w:val="20"/>
            <w:szCs w:val="20"/>
          </w:rPr>
          <w:instrText xml:space="preserve"> PAGE </w:instrText>
        </w:r>
        <w:r w:rsidRPr="004175BA">
          <w:rPr>
            <w:rStyle w:val="PageNumber"/>
            <w:rFonts w:ascii="Calibri" w:hAnsi="Calibri" w:cs="Calibri"/>
            <w:sz w:val="20"/>
            <w:szCs w:val="20"/>
          </w:rPr>
          <w:fldChar w:fldCharType="separate"/>
        </w:r>
        <w:r w:rsidRPr="004175BA">
          <w:rPr>
            <w:rStyle w:val="PageNumber"/>
            <w:rFonts w:ascii="Calibri" w:hAnsi="Calibri" w:cs="Calibri"/>
            <w:noProof/>
            <w:sz w:val="20"/>
            <w:szCs w:val="20"/>
          </w:rPr>
          <w:t>2</w:t>
        </w:r>
        <w:r w:rsidRPr="004175BA">
          <w:rPr>
            <w:rStyle w:val="PageNumber"/>
            <w:rFonts w:ascii="Calibri" w:hAnsi="Calibri" w:cs="Calibri"/>
            <w:sz w:val="20"/>
            <w:szCs w:val="20"/>
          </w:rPr>
          <w:fldChar w:fldCharType="end"/>
        </w:r>
      </w:p>
    </w:sdtContent>
  </w:sdt>
  <w:p w14:paraId="07587977" w14:textId="6A2F6B0D" w:rsidR="004175BA" w:rsidRPr="004175BA" w:rsidRDefault="004175BA" w:rsidP="00116A19">
    <w:pPr>
      <w:pStyle w:val="Header"/>
      <w:tabs>
        <w:tab w:val="clear" w:pos="4680"/>
        <w:tab w:val="clear" w:pos="9360"/>
        <w:tab w:val="right" w:pos="9180"/>
      </w:tabs>
      <w:rPr>
        <w:rFonts w:ascii="Calibri" w:hAnsi="Calibri" w:cs="Calibri"/>
        <w:sz w:val="20"/>
        <w:szCs w:val="20"/>
      </w:rPr>
    </w:pPr>
    <w:r w:rsidRPr="004175BA">
      <w:rPr>
        <w:rFonts w:ascii="Calibri" w:hAnsi="Calibri" w:cs="Calibri"/>
        <w:sz w:val="20"/>
        <w:szCs w:val="20"/>
      </w:rPr>
      <w:t>Tindal Biography</w:t>
    </w:r>
    <w:r w:rsidR="00116A19">
      <w:rPr>
        <w:rFonts w:ascii="Calibri" w:hAnsi="Calibri" w:cs="Calibri"/>
        <w:sz w:val="20"/>
        <w:szCs w:val="20"/>
      </w:rPr>
      <w:t xml:space="preserve"> and Personal Statement</w:t>
    </w:r>
    <w:r w:rsidRPr="004175BA">
      <w:rPr>
        <w:rFonts w:ascii="Calibri" w:hAnsi="Calibri" w:cs="Calibri"/>
        <w:sz w:val="20"/>
        <w:szCs w:val="20"/>
      </w:rPr>
      <w:tab/>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B67D0"/>
    <w:multiLevelType w:val="hybridMultilevel"/>
    <w:tmpl w:val="B4780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7C6B93"/>
    <w:multiLevelType w:val="multilevel"/>
    <w:tmpl w:val="7E308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006587">
    <w:abstractNumId w:val="1"/>
  </w:num>
  <w:num w:numId="2" w16cid:durableId="39486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328D"/>
    <w:rsid w:val="00006626"/>
    <w:rsid w:val="00006875"/>
    <w:rsid w:val="00006BBF"/>
    <w:rsid w:val="0001281A"/>
    <w:rsid w:val="00013C9C"/>
    <w:rsid w:val="000141FD"/>
    <w:rsid w:val="000200CE"/>
    <w:rsid w:val="00021343"/>
    <w:rsid w:val="0002562E"/>
    <w:rsid w:val="00027A54"/>
    <w:rsid w:val="00031436"/>
    <w:rsid w:val="00032CC5"/>
    <w:rsid w:val="00033B73"/>
    <w:rsid w:val="00034F02"/>
    <w:rsid w:val="0003559B"/>
    <w:rsid w:val="00046864"/>
    <w:rsid w:val="000479D5"/>
    <w:rsid w:val="00053BCC"/>
    <w:rsid w:val="00054624"/>
    <w:rsid w:val="00054EF5"/>
    <w:rsid w:val="00056620"/>
    <w:rsid w:val="00064E63"/>
    <w:rsid w:val="000729B6"/>
    <w:rsid w:val="000746E3"/>
    <w:rsid w:val="00074AD8"/>
    <w:rsid w:val="00085B42"/>
    <w:rsid w:val="00087F49"/>
    <w:rsid w:val="000A6F89"/>
    <w:rsid w:val="000B189E"/>
    <w:rsid w:val="000B41C7"/>
    <w:rsid w:val="000C0FD9"/>
    <w:rsid w:val="000C2F48"/>
    <w:rsid w:val="000C3F65"/>
    <w:rsid w:val="000C4E43"/>
    <w:rsid w:val="000D42A0"/>
    <w:rsid w:val="000E0C74"/>
    <w:rsid w:val="000E206D"/>
    <w:rsid w:val="000E308B"/>
    <w:rsid w:val="000E5A68"/>
    <w:rsid w:val="000F425D"/>
    <w:rsid w:val="000F5D7B"/>
    <w:rsid w:val="001017E7"/>
    <w:rsid w:val="00101E7A"/>
    <w:rsid w:val="00111EEE"/>
    <w:rsid w:val="00114EA9"/>
    <w:rsid w:val="00116A19"/>
    <w:rsid w:val="0011733A"/>
    <w:rsid w:val="001177CD"/>
    <w:rsid w:val="00117D61"/>
    <w:rsid w:val="00125068"/>
    <w:rsid w:val="00126ADB"/>
    <w:rsid w:val="001363B6"/>
    <w:rsid w:val="0014658B"/>
    <w:rsid w:val="00146B67"/>
    <w:rsid w:val="00150393"/>
    <w:rsid w:val="00163668"/>
    <w:rsid w:val="00167FDB"/>
    <w:rsid w:val="00171B85"/>
    <w:rsid w:val="00173452"/>
    <w:rsid w:val="00177211"/>
    <w:rsid w:val="0017734E"/>
    <w:rsid w:val="0017791E"/>
    <w:rsid w:val="00183937"/>
    <w:rsid w:val="001839F6"/>
    <w:rsid w:val="00186A92"/>
    <w:rsid w:val="00190023"/>
    <w:rsid w:val="0019259A"/>
    <w:rsid w:val="00195240"/>
    <w:rsid w:val="00195422"/>
    <w:rsid w:val="00196419"/>
    <w:rsid w:val="001A1D6E"/>
    <w:rsid w:val="001A33FB"/>
    <w:rsid w:val="001A5E03"/>
    <w:rsid w:val="001A6D7D"/>
    <w:rsid w:val="001B17F8"/>
    <w:rsid w:val="001B559B"/>
    <w:rsid w:val="001C00EF"/>
    <w:rsid w:val="001C3145"/>
    <w:rsid w:val="001C3358"/>
    <w:rsid w:val="001C40CE"/>
    <w:rsid w:val="001D2B15"/>
    <w:rsid w:val="001E0C10"/>
    <w:rsid w:val="001F0635"/>
    <w:rsid w:val="001F231F"/>
    <w:rsid w:val="001F7547"/>
    <w:rsid w:val="001F75E5"/>
    <w:rsid w:val="00211B35"/>
    <w:rsid w:val="00212D19"/>
    <w:rsid w:val="002131DF"/>
    <w:rsid w:val="002144DF"/>
    <w:rsid w:val="00215078"/>
    <w:rsid w:val="00217713"/>
    <w:rsid w:val="00222C01"/>
    <w:rsid w:val="00225C24"/>
    <w:rsid w:val="0023163F"/>
    <w:rsid w:val="002341BF"/>
    <w:rsid w:val="00235118"/>
    <w:rsid w:val="00235CAD"/>
    <w:rsid w:val="00240885"/>
    <w:rsid w:val="00241A6E"/>
    <w:rsid w:val="00241D7B"/>
    <w:rsid w:val="002464D9"/>
    <w:rsid w:val="00247BAA"/>
    <w:rsid w:val="0025071B"/>
    <w:rsid w:val="00250740"/>
    <w:rsid w:val="00254935"/>
    <w:rsid w:val="00260A73"/>
    <w:rsid w:val="00260C22"/>
    <w:rsid w:val="00261CF3"/>
    <w:rsid w:val="00264F72"/>
    <w:rsid w:val="00265743"/>
    <w:rsid w:val="00273B6B"/>
    <w:rsid w:val="00275A6E"/>
    <w:rsid w:val="00280130"/>
    <w:rsid w:val="00283272"/>
    <w:rsid w:val="00283E13"/>
    <w:rsid w:val="002877BE"/>
    <w:rsid w:val="002A2037"/>
    <w:rsid w:val="002A2B1F"/>
    <w:rsid w:val="002A3351"/>
    <w:rsid w:val="002A35A5"/>
    <w:rsid w:val="002A60DE"/>
    <w:rsid w:val="002C0103"/>
    <w:rsid w:val="002C2770"/>
    <w:rsid w:val="002D112A"/>
    <w:rsid w:val="002D123D"/>
    <w:rsid w:val="002D62D8"/>
    <w:rsid w:val="002E1904"/>
    <w:rsid w:val="002F108F"/>
    <w:rsid w:val="002F43FB"/>
    <w:rsid w:val="0030450C"/>
    <w:rsid w:val="0030521A"/>
    <w:rsid w:val="00314504"/>
    <w:rsid w:val="00315AFB"/>
    <w:rsid w:val="00317DE6"/>
    <w:rsid w:val="003218B7"/>
    <w:rsid w:val="00322715"/>
    <w:rsid w:val="00322AC8"/>
    <w:rsid w:val="003264C3"/>
    <w:rsid w:val="00327D26"/>
    <w:rsid w:val="00333942"/>
    <w:rsid w:val="003478A2"/>
    <w:rsid w:val="00353BD7"/>
    <w:rsid w:val="00357052"/>
    <w:rsid w:val="00363688"/>
    <w:rsid w:val="00363878"/>
    <w:rsid w:val="00365104"/>
    <w:rsid w:val="00366C09"/>
    <w:rsid w:val="00372FB4"/>
    <w:rsid w:val="00374055"/>
    <w:rsid w:val="00381526"/>
    <w:rsid w:val="0038559D"/>
    <w:rsid w:val="0038663A"/>
    <w:rsid w:val="0039180B"/>
    <w:rsid w:val="003972A6"/>
    <w:rsid w:val="003A0EFF"/>
    <w:rsid w:val="003A68B5"/>
    <w:rsid w:val="003B07E8"/>
    <w:rsid w:val="003B1DC7"/>
    <w:rsid w:val="003B21F1"/>
    <w:rsid w:val="003B5569"/>
    <w:rsid w:val="003C1235"/>
    <w:rsid w:val="003C2231"/>
    <w:rsid w:val="003C4E2A"/>
    <w:rsid w:val="003D2ADE"/>
    <w:rsid w:val="003E06F3"/>
    <w:rsid w:val="003E45E6"/>
    <w:rsid w:val="003E71E8"/>
    <w:rsid w:val="003F35C7"/>
    <w:rsid w:val="00401BBE"/>
    <w:rsid w:val="00402045"/>
    <w:rsid w:val="00403682"/>
    <w:rsid w:val="0040486D"/>
    <w:rsid w:val="0040672B"/>
    <w:rsid w:val="00406E7D"/>
    <w:rsid w:val="0041121B"/>
    <w:rsid w:val="004175BA"/>
    <w:rsid w:val="00422DF4"/>
    <w:rsid w:val="00433690"/>
    <w:rsid w:val="004368A5"/>
    <w:rsid w:val="00437A57"/>
    <w:rsid w:val="00441F12"/>
    <w:rsid w:val="004451EB"/>
    <w:rsid w:val="00461867"/>
    <w:rsid w:val="00464E18"/>
    <w:rsid w:val="00467EC7"/>
    <w:rsid w:val="00471EA2"/>
    <w:rsid w:val="00472803"/>
    <w:rsid w:val="00474DEC"/>
    <w:rsid w:val="0047776B"/>
    <w:rsid w:val="004817FD"/>
    <w:rsid w:val="00482A94"/>
    <w:rsid w:val="00483AC3"/>
    <w:rsid w:val="004860DD"/>
    <w:rsid w:val="00487FBF"/>
    <w:rsid w:val="004906E9"/>
    <w:rsid w:val="00490CD1"/>
    <w:rsid w:val="0049100D"/>
    <w:rsid w:val="00493F20"/>
    <w:rsid w:val="004941CF"/>
    <w:rsid w:val="004A10A5"/>
    <w:rsid w:val="004A2A4A"/>
    <w:rsid w:val="004A3646"/>
    <w:rsid w:val="004A400B"/>
    <w:rsid w:val="004A6874"/>
    <w:rsid w:val="004B4BAF"/>
    <w:rsid w:val="004B4C86"/>
    <w:rsid w:val="004B558C"/>
    <w:rsid w:val="004B663F"/>
    <w:rsid w:val="004B73D0"/>
    <w:rsid w:val="004B7B38"/>
    <w:rsid w:val="004C0B21"/>
    <w:rsid w:val="004C2B08"/>
    <w:rsid w:val="004C2E35"/>
    <w:rsid w:val="004D15BB"/>
    <w:rsid w:val="004D1760"/>
    <w:rsid w:val="004D4AB2"/>
    <w:rsid w:val="004D4F0C"/>
    <w:rsid w:val="004E280A"/>
    <w:rsid w:val="004F12C0"/>
    <w:rsid w:val="004F30F3"/>
    <w:rsid w:val="00501AAA"/>
    <w:rsid w:val="00503344"/>
    <w:rsid w:val="005039EE"/>
    <w:rsid w:val="005052E3"/>
    <w:rsid w:val="00507C13"/>
    <w:rsid w:val="005160AF"/>
    <w:rsid w:val="00526A8E"/>
    <w:rsid w:val="00526E1E"/>
    <w:rsid w:val="00527F99"/>
    <w:rsid w:val="005346AE"/>
    <w:rsid w:val="0054081B"/>
    <w:rsid w:val="00541E78"/>
    <w:rsid w:val="005440A8"/>
    <w:rsid w:val="005453A0"/>
    <w:rsid w:val="00546DD5"/>
    <w:rsid w:val="00552641"/>
    <w:rsid w:val="00553C3B"/>
    <w:rsid w:val="00560DEB"/>
    <w:rsid w:val="00577169"/>
    <w:rsid w:val="00582E73"/>
    <w:rsid w:val="0059125C"/>
    <w:rsid w:val="00592747"/>
    <w:rsid w:val="00593528"/>
    <w:rsid w:val="00594C29"/>
    <w:rsid w:val="005965F3"/>
    <w:rsid w:val="005A6546"/>
    <w:rsid w:val="005B1BEB"/>
    <w:rsid w:val="005B4B68"/>
    <w:rsid w:val="005B5E68"/>
    <w:rsid w:val="005C06C6"/>
    <w:rsid w:val="005C1908"/>
    <w:rsid w:val="005C4592"/>
    <w:rsid w:val="005D0D73"/>
    <w:rsid w:val="005D1CAE"/>
    <w:rsid w:val="005D2A8D"/>
    <w:rsid w:val="005D4765"/>
    <w:rsid w:val="005D75B8"/>
    <w:rsid w:val="005E2A30"/>
    <w:rsid w:val="005E2DD8"/>
    <w:rsid w:val="005E5520"/>
    <w:rsid w:val="005E7FE7"/>
    <w:rsid w:val="005F0331"/>
    <w:rsid w:val="005F108B"/>
    <w:rsid w:val="0060044E"/>
    <w:rsid w:val="006053C5"/>
    <w:rsid w:val="006056C5"/>
    <w:rsid w:val="00607B3E"/>
    <w:rsid w:val="006100CB"/>
    <w:rsid w:val="006146B6"/>
    <w:rsid w:val="00614C09"/>
    <w:rsid w:val="0061661B"/>
    <w:rsid w:val="00625035"/>
    <w:rsid w:val="00625E77"/>
    <w:rsid w:val="006278ED"/>
    <w:rsid w:val="006279A4"/>
    <w:rsid w:val="00627E15"/>
    <w:rsid w:val="00630FC0"/>
    <w:rsid w:val="00634628"/>
    <w:rsid w:val="006447E8"/>
    <w:rsid w:val="00646E66"/>
    <w:rsid w:val="00650E70"/>
    <w:rsid w:val="00653F12"/>
    <w:rsid w:val="00655D8C"/>
    <w:rsid w:val="006601BD"/>
    <w:rsid w:val="0066440B"/>
    <w:rsid w:val="006718C8"/>
    <w:rsid w:val="00677D81"/>
    <w:rsid w:val="006805C5"/>
    <w:rsid w:val="00690AFC"/>
    <w:rsid w:val="006963CB"/>
    <w:rsid w:val="00697ED0"/>
    <w:rsid w:val="006A1F19"/>
    <w:rsid w:val="006A5A86"/>
    <w:rsid w:val="006B6365"/>
    <w:rsid w:val="006C13C1"/>
    <w:rsid w:val="006C20F3"/>
    <w:rsid w:val="006C2ECC"/>
    <w:rsid w:val="006C3A9A"/>
    <w:rsid w:val="006D0B87"/>
    <w:rsid w:val="006D797B"/>
    <w:rsid w:val="006E0BE5"/>
    <w:rsid w:val="006E13E6"/>
    <w:rsid w:val="006E5A53"/>
    <w:rsid w:val="006F023C"/>
    <w:rsid w:val="006F1A87"/>
    <w:rsid w:val="006F353F"/>
    <w:rsid w:val="006F4000"/>
    <w:rsid w:val="006F65E2"/>
    <w:rsid w:val="00700D5A"/>
    <w:rsid w:val="0071525F"/>
    <w:rsid w:val="007172D0"/>
    <w:rsid w:val="007243CA"/>
    <w:rsid w:val="00725554"/>
    <w:rsid w:val="00732197"/>
    <w:rsid w:val="00737FCD"/>
    <w:rsid w:val="0074698F"/>
    <w:rsid w:val="00756E94"/>
    <w:rsid w:val="00761604"/>
    <w:rsid w:val="0076229D"/>
    <w:rsid w:val="00774800"/>
    <w:rsid w:val="007755F9"/>
    <w:rsid w:val="00777617"/>
    <w:rsid w:val="007869D3"/>
    <w:rsid w:val="007871D4"/>
    <w:rsid w:val="007933B8"/>
    <w:rsid w:val="00795704"/>
    <w:rsid w:val="007A0FEF"/>
    <w:rsid w:val="007A132D"/>
    <w:rsid w:val="007A596C"/>
    <w:rsid w:val="007B650B"/>
    <w:rsid w:val="007C0F7E"/>
    <w:rsid w:val="007C1D76"/>
    <w:rsid w:val="007C579F"/>
    <w:rsid w:val="007C7881"/>
    <w:rsid w:val="007D070B"/>
    <w:rsid w:val="007D3654"/>
    <w:rsid w:val="007D73FE"/>
    <w:rsid w:val="007D7414"/>
    <w:rsid w:val="007E1396"/>
    <w:rsid w:val="007E1C9E"/>
    <w:rsid w:val="007E1D43"/>
    <w:rsid w:val="007E2A89"/>
    <w:rsid w:val="007F31FB"/>
    <w:rsid w:val="007F683D"/>
    <w:rsid w:val="007F72F4"/>
    <w:rsid w:val="007F7A1C"/>
    <w:rsid w:val="0080171D"/>
    <w:rsid w:val="00806270"/>
    <w:rsid w:val="00811757"/>
    <w:rsid w:val="008303B4"/>
    <w:rsid w:val="0083333A"/>
    <w:rsid w:val="00840535"/>
    <w:rsid w:val="0084616A"/>
    <w:rsid w:val="00847168"/>
    <w:rsid w:val="00852D6D"/>
    <w:rsid w:val="00854085"/>
    <w:rsid w:val="008550CD"/>
    <w:rsid w:val="0085594F"/>
    <w:rsid w:val="008572A4"/>
    <w:rsid w:val="0086369F"/>
    <w:rsid w:val="00865D06"/>
    <w:rsid w:val="00867902"/>
    <w:rsid w:val="00871F3C"/>
    <w:rsid w:val="008720B9"/>
    <w:rsid w:val="008802F8"/>
    <w:rsid w:val="00882FF1"/>
    <w:rsid w:val="00883CEE"/>
    <w:rsid w:val="0088470D"/>
    <w:rsid w:val="008921DB"/>
    <w:rsid w:val="00893465"/>
    <w:rsid w:val="00895B64"/>
    <w:rsid w:val="00895E7B"/>
    <w:rsid w:val="008A348B"/>
    <w:rsid w:val="008A40E1"/>
    <w:rsid w:val="008A4F72"/>
    <w:rsid w:val="008A7F58"/>
    <w:rsid w:val="008B4142"/>
    <w:rsid w:val="008B552F"/>
    <w:rsid w:val="008B7400"/>
    <w:rsid w:val="008B7F66"/>
    <w:rsid w:val="008C037B"/>
    <w:rsid w:val="008C266B"/>
    <w:rsid w:val="008C7CAB"/>
    <w:rsid w:val="008D2D93"/>
    <w:rsid w:val="008D3028"/>
    <w:rsid w:val="008D3395"/>
    <w:rsid w:val="008D474A"/>
    <w:rsid w:val="008E0378"/>
    <w:rsid w:val="008E0866"/>
    <w:rsid w:val="008E08F0"/>
    <w:rsid w:val="008E3C5A"/>
    <w:rsid w:val="008E4B78"/>
    <w:rsid w:val="008E756D"/>
    <w:rsid w:val="008E7A87"/>
    <w:rsid w:val="008F13DC"/>
    <w:rsid w:val="008F3ECA"/>
    <w:rsid w:val="009029AD"/>
    <w:rsid w:val="00902DB8"/>
    <w:rsid w:val="009048E9"/>
    <w:rsid w:val="009128CA"/>
    <w:rsid w:val="00913B00"/>
    <w:rsid w:val="009158B5"/>
    <w:rsid w:val="00920CAA"/>
    <w:rsid w:val="00922E44"/>
    <w:rsid w:val="00923D5B"/>
    <w:rsid w:val="0092558A"/>
    <w:rsid w:val="009304C1"/>
    <w:rsid w:val="00930895"/>
    <w:rsid w:val="00932A42"/>
    <w:rsid w:val="00933EAA"/>
    <w:rsid w:val="00935439"/>
    <w:rsid w:val="009364EA"/>
    <w:rsid w:val="00942E1A"/>
    <w:rsid w:val="00945251"/>
    <w:rsid w:val="0094741C"/>
    <w:rsid w:val="00952A1C"/>
    <w:rsid w:val="0095318E"/>
    <w:rsid w:val="009549E0"/>
    <w:rsid w:val="009560DE"/>
    <w:rsid w:val="00964DEC"/>
    <w:rsid w:val="00966430"/>
    <w:rsid w:val="00975CC9"/>
    <w:rsid w:val="009801FE"/>
    <w:rsid w:val="009805D3"/>
    <w:rsid w:val="0099273E"/>
    <w:rsid w:val="009A0F14"/>
    <w:rsid w:val="009A6B4F"/>
    <w:rsid w:val="009B0845"/>
    <w:rsid w:val="009B296D"/>
    <w:rsid w:val="009B54CF"/>
    <w:rsid w:val="009B6E19"/>
    <w:rsid w:val="009C0D27"/>
    <w:rsid w:val="009C20C9"/>
    <w:rsid w:val="009C38AE"/>
    <w:rsid w:val="009D2998"/>
    <w:rsid w:val="009D33EF"/>
    <w:rsid w:val="009D473C"/>
    <w:rsid w:val="009D6CD1"/>
    <w:rsid w:val="009D776F"/>
    <w:rsid w:val="009E0CB4"/>
    <w:rsid w:val="009E1A92"/>
    <w:rsid w:val="009E2B1F"/>
    <w:rsid w:val="009F1F03"/>
    <w:rsid w:val="009F5F31"/>
    <w:rsid w:val="009F6514"/>
    <w:rsid w:val="00A04190"/>
    <w:rsid w:val="00A10915"/>
    <w:rsid w:val="00A11669"/>
    <w:rsid w:val="00A1341C"/>
    <w:rsid w:val="00A16195"/>
    <w:rsid w:val="00A20AB3"/>
    <w:rsid w:val="00A271F4"/>
    <w:rsid w:val="00A36248"/>
    <w:rsid w:val="00A54556"/>
    <w:rsid w:val="00A54861"/>
    <w:rsid w:val="00A565C1"/>
    <w:rsid w:val="00A60416"/>
    <w:rsid w:val="00A616FF"/>
    <w:rsid w:val="00A61E35"/>
    <w:rsid w:val="00A74E8A"/>
    <w:rsid w:val="00A76379"/>
    <w:rsid w:val="00A81621"/>
    <w:rsid w:val="00A911BF"/>
    <w:rsid w:val="00A95960"/>
    <w:rsid w:val="00A97BBD"/>
    <w:rsid w:val="00AA52CC"/>
    <w:rsid w:val="00AA69E2"/>
    <w:rsid w:val="00AB1119"/>
    <w:rsid w:val="00AC1A3A"/>
    <w:rsid w:val="00AC6D05"/>
    <w:rsid w:val="00AD2C35"/>
    <w:rsid w:val="00AE054D"/>
    <w:rsid w:val="00AE1DF6"/>
    <w:rsid w:val="00AE2C30"/>
    <w:rsid w:val="00AE598B"/>
    <w:rsid w:val="00AF1092"/>
    <w:rsid w:val="00AF4748"/>
    <w:rsid w:val="00B001F2"/>
    <w:rsid w:val="00B00CF7"/>
    <w:rsid w:val="00B033AA"/>
    <w:rsid w:val="00B0519D"/>
    <w:rsid w:val="00B069A5"/>
    <w:rsid w:val="00B06C9E"/>
    <w:rsid w:val="00B107E0"/>
    <w:rsid w:val="00B10BB6"/>
    <w:rsid w:val="00B210EE"/>
    <w:rsid w:val="00B21A8A"/>
    <w:rsid w:val="00B237DA"/>
    <w:rsid w:val="00B33B88"/>
    <w:rsid w:val="00B33BDF"/>
    <w:rsid w:val="00B34DE3"/>
    <w:rsid w:val="00B357A3"/>
    <w:rsid w:val="00B3679A"/>
    <w:rsid w:val="00B404DD"/>
    <w:rsid w:val="00B418E6"/>
    <w:rsid w:val="00B41ED3"/>
    <w:rsid w:val="00B41EFB"/>
    <w:rsid w:val="00B4431F"/>
    <w:rsid w:val="00B44AFA"/>
    <w:rsid w:val="00B5359C"/>
    <w:rsid w:val="00B565FE"/>
    <w:rsid w:val="00B571F2"/>
    <w:rsid w:val="00B62297"/>
    <w:rsid w:val="00B62C44"/>
    <w:rsid w:val="00B66093"/>
    <w:rsid w:val="00B661BD"/>
    <w:rsid w:val="00B72C9A"/>
    <w:rsid w:val="00B734AA"/>
    <w:rsid w:val="00B8461B"/>
    <w:rsid w:val="00B90584"/>
    <w:rsid w:val="00B90E30"/>
    <w:rsid w:val="00BA0D57"/>
    <w:rsid w:val="00BB0F7F"/>
    <w:rsid w:val="00BC0062"/>
    <w:rsid w:val="00BC284C"/>
    <w:rsid w:val="00BC6672"/>
    <w:rsid w:val="00BD417D"/>
    <w:rsid w:val="00BD4B9E"/>
    <w:rsid w:val="00BE07A4"/>
    <w:rsid w:val="00BF1A6A"/>
    <w:rsid w:val="00BF6DAB"/>
    <w:rsid w:val="00C00D9B"/>
    <w:rsid w:val="00C04E5E"/>
    <w:rsid w:val="00C063B8"/>
    <w:rsid w:val="00C12BB0"/>
    <w:rsid w:val="00C13AAC"/>
    <w:rsid w:val="00C14C25"/>
    <w:rsid w:val="00C1567B"/>
    <w:rsid w:val="00C21529"/>
    <w:rsid w:val="00C21D0B"/>
    <w:rsid w:val="00C22DE1"/>
    <w:rsid w:val="00C24A86"/>
    <w:rsid w:val="00C62F5A"/>
    <w:rsid w:val="00C63195"/>
    <w:rsid w:val="00C66E48"/>
    <w:rsid w:val="00C762C8"/>
    <w:rsid w:val="00C94342"/>
    <w:rsid w:val="00C9508F"/>
    <w:rsid w:val="00CA7811"/>
    <w:rsid w:val="00CB1164"/>
    <w:rsid w:val="00CB2D9C"/>
    <w:rsid w:val="00CB4874"/>
    <w:rsid w:val="00CB523C"/>
    <w:rsid w:val="00CB78F3"/>
    <w:rsid w:val="00CC422B"/>
    <w:rsid w:val="00CD155D"/>
    <w:rsid w:val="00CD2047"/>
    <w:rsid w:val="00CD4967"/>
    <w:rsid w:val="00CD6660"/>
    <w:rsid w:val="00CD774E"/>
    <w:rsid w:val="00CE4383"/>
    <w:rsid w:val="00CE761E"/>
    <w:rsid w:val="00CF2CE8"/>
    <w:rsid w:val="00D23476"/>
    <w:rsid w:val="00D23C66"/>
    <w:rsid w:val="00D24088"/>
    <w:rsid w:val="00D34E41"/>
    <w:rsid w:val="00D35E80"/>
    <w:rsid w:val="00D4173E"/>
    <w:rsid w:val="00D42743"/>
    <w:rsid w:val="00D42BF2"/>
    <w:rsid w:val="00D46BD6"/>
    <w:rsid w:val="00D53EE9"/>
    <w:rsid w:val="00D57359"/>
    <w:rsid w:val="00D625A9"/>
    <w:rsid w:val="00D63805"/>
    <w:rsid w:val="00D655C3"/>
    <w:rsid w:val="00D737DC"/>
    <w:rsid w:val="00D753F0"/>
    <w:rsid w:val="00D8088C"/>
    <w:rsid w:val="00D84B85"/>
    <w:rsid w:val="00D94D45"/>
    <w:rsid w:val="00D94EAE"/>
    <w:rsid w:val="00D97625"/>
    <w:rsid w:val="00DA4A1A"/>
    <w:rsid w:val="00DA5387"/>
    <w:rsid w:val="00DA671D"/>
    <w:rsid w:val="00DA78CC"/>
    <w:rsid w:val="00DB2F11"/>
    <w:rsid w:val="00DB5D17"/>
    <w:rsid w:val="00DB73CF"/>
    <w:rsid w:val="00DC043C"/>
    <w:rsid w:val="00DC2B8B"/>
    <w:rsid w:val="00DC3DAB"/>
    <w:rsid w:val="00DD3302"/>
    <w:rsid w:val="00DE0FF7"/>
    <w:rsid w:val="00DE52F6"/>
    <w:rsid w:val="00DE68C0"/>
    <w:rsid w:val="00DE7185"/>
    <w:rsid w:val="00DF5EBD"/>
    <w:rsid w:val="00E03BB1"/>
    <w:rsid w:val="00E133BB"/>
    <w:rsid w:val="00E16A7F"/>
    <w:rsid w:val="00E32082"/>
    <w:rsid w:val="00E32D2F"/>
    <w:rsid w:val="00E333D4"/>
    <w:rsid w:val="00E33B6F"/>
    <w:rsid w:val="00E3642A"/>
    <w:rsid w:val="00E402BB"/>
    <w:rsid w:val="00E42524"/>
    <w:rsid w:val="00E42F41"/>
    <w:rsid w:val="00E56EEB"/>
    <w:rsid w:val="00E65010"/>
    <w:rsid w:val="00E7055B"/>
    <w:rsid w:val="00E7409E"/>
    <w:rsid w:val="00E80D4F"/>
    <w:rsid w:val="00E81E6E"/>
    <w:rsid w:val="00E8342E"/>
    <w:rsid w:val="00E83FF2"/>
    <w:rsid w:val="00E8505E"/>
    <w:rsid w:val="00E95B00"/>
    <w:rsid w:val="00EA0965"/>
    <w:rsid w:val="00EA3040"/>
    <w:rsid w:val="00EA4AFF"/>
    <w:rsid w:val="00EB732B"/>
    <w:rsid w:val="00EC1DD8"/>
    <w:rsid w:val="00EC1FC7"/>
    <w:rsid w:val="00EC323C"/>
    <w:rsid w:val="00ED0851"/>
    <w:rsid w:val="00ED7395"/>
    <w:rsid w:val="00EF1CCC"/>
    <w:rsid w:val="00EF2465"/>
    <w:rsid w:val="00F053E8"/>
    <w:rsid w:val="00F07EF5"/>
    <w:rsid w:val="00F12F9E"/>
    <w:rsid w:val="00F13E0D"/>
    <w:rsid w:val="00F13F18"/>
    <w:rsid w:val="00F17CC4"/>
    <w:rsid w:val="00F227AF"/>
    <w:rsid w:val="00F24D63"/>
    <w:rsid w:val="00F3089E"/>
    <w:rsid w:val="00F31CB4"/>
    <w:rsid w:val="00F346B7"/>
    <w:rsid w:val="00F401AD"/>
    <w:rsid w:val="00F41757"/>
    <w:rsid w:val="00F41C7C"/>
    <w:rsid w:val="00F53D30"/>
    <w:rsid w:val="00F67CD7"/>
    <w:rsid w:val="00F76176"/>
    <w:rsid w:val="00F77605"/>
    <w:rsid w:val="00F80690"/>
    <w:rsid w:val="00F81047"/>
    <w:rsid w:val="00F93457"/>
    <w:rsid w:val="00F9525A"/>
    <w:rsid w:val="00F95462"/>
    <w:rsid w:val="00F975DE"/>
    <w:rsid w:val="00FA034E"/>
    <w:rsid w:val="00FA64B9"/>
    <w:rsid w:val="00FB0847"/>
    <w:rsid w:val="00FB488D"/>
    <w:rsid w:val="00FB7598"/>
    <w:rsid w:val="00FC1D88"/>
    <w:rsid w:val="00FC51EC"/>
    <w:rsid w:val="00FD1AAC"/>
    <w:rsid w:val="00FD4A4F"/>
    <w:rsid w:val="00FD4C30"/>
    <w:rsid w:val="00FD71A1"/>
    <w:rsid w:val="00FE0970"/>
    <w:rsid w:val="00FE2362"/>
    <w:rsid w:val="00FE43B6"/>
    <w:rsid w:val="00FE5360"/>
    <w:rsid w:val="00FE5ED5"/>
    <w:rsid w:val="00FE6B3A"/>
    <w:rsid w:val="00FF2755"/>
    <w:rsid w:val="00FF3C40"/>
    <w:rsid w:val="00FF40F2"/>
    <w:rsid w:val="00FF4837"/>
    <w:rsid w:val="00FF67AF"/>
    <w:rsid w:val="00FF6EDC"/>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2C12A"/>
  <w15:chartTrackingRefBased/>
  <w15:docId w15:val="{351A2A14-1D7E-3144-BD5D-A37DE190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C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7CAB"/>
    <w:rPr>
      <w:rFonts w:ascii="Times New Roman" w:hAnsi="Times New Roman" w:cs="Times New Roman"/>
      <w:sz w:val="18"/>
      <w:szCs w:val="18"/>
    </w:rPr>
  </w:style>
  <w:style w:type="paragraph" w:styleId="TOC1">
    <w:name w:val="toc 1"/>
    <w:basedOn w:val="Normal"/>
    <w:autoRedefine/>
    <w:uiPriority w:val="39"/>
    <w:qFormat/>
    <w:rsid w:val="00B404DD"/>
    <w:pPr>
      <w:tabs>
        <w:tab w:val="right" w:leader="underscore" w:pos="9350"/>
      </w:tabs>
      <w:spacing w:before="120"/>
    </w:pPr>
    <w:rPr>
      <w:rFonts w:eastAsia="Times New Roman" w:cs="Times New Roman"/>
      <w:b/>
      <w:bCs/>
      <w:i/>
      <w:iCs/>
    </w:rPr>
  </w:style>
  <w:style w:type="character" w:customStyle="1" w:styleId="Heading1Char">
    <w:name w:val="Heading 1 Char"/>
    <w:basedOn w:val="DefaultParagraphFont"/>
    <w:link w:val="Heading1"/>
    <w:uiPriority w:val="9"/>
    <w:rsid w:val="009F6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14"/>
    <w:rPr>
      <w:rFonts w:eastAsiaTheme="majorEastAsia" w:cstheme="majorBidi"/>
      <w:color w:val="272727" w:themeColor="text1" w:themeTint="D8"/>
    </w:rPr>
  </w:style>
  <w:style w:type="paragraph" w:styleId="Title">
    <w:name w:val="Title"/>
    <w:basedOn w:val="Normal"/>
    <w:next w:val="Normal"/>
    <w:link w:val="TitleChar"/>
    <w:uiPriority w:val="10"/>
    <w:qFormat/>
    <w:rsid w:val="009F6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6514"/>
    <w:rPr>
      <w:i/>
      <w:iCs/>
      <w:color w:val="404040" w:themeColor="text1" w:themeTint="BF"/>
    </w:rPr>
  </w:style>
  <w:style w:type="paragraph" w:styleId="ListParagraph">
    <w:name w:val="List Paragraph"/>
    <w:basedOn w:val="Normal"/>
    <w:uiPriority w:val="34"/>
    <w:qFormat/>
    <w:rsid w:val="009F6514"/>
    <w:pPr>
      <w:ind w:left="720"/>
      <w:contextualSpacing/>
    </w:pPr>
  </w:style>
  <w:style w:type="character" w:styleId="IntenseEmphasis">
    <w:name w:val="Intense Emphasis"/>
    <w:basedOn w:val="DefaultParagraphFont"/>
    <w:uiPriority w:val="21"/>
    <w:qFormat/>
    <w:rsid w:val="009F6514"/>
    <w:rPr>
      <w:i/>
      <w:iCs/>
      <w:color w:val="0F4761" w:themeColor="accent1" w:themeShade="BF"/>
    </w:rPr>
  </w:style>
  <w:style w:type="paragraph" w:styleId="IntenseQuote">
    <w:name w:val="Intense Quote"/>
    <w:basedOn w:val="Normal"/>
    <w:next w:val="Normal"/>
    <w:link w:val="IntenseQuoteChar"/>
    <w:uiPriority w:val="30"/>
    <w:qFormat/>
    <w:rsid w:val="009F6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14"/>
    <w:rPr>
      <w:i/>
      <w:iCs/>
      <w:color w:val="0F4761" w:themeColor="accent1" w:themeShade="BF"/>
    </w:rPr>
  </w:style>
  <w:style w:type="character" w:styleId="IntenseReference">
    <w:name w:val="Intense Reference"/>
    <w:basedOn w:val="DefaultParagraphFont"/>
    <w:uiPriority w:val="32"/>
    <w:qFormat/>
    <w:rsid w:val="009F6514"/>
    <w:rPr>
      <w:b/>
      <w:bCs/>
      <w:smallCaps/>
      <w:color w:val="0F4761" w:themeColor="accent1" w:themeShade="BF"/>
      <w:spacing w:val="5"/>
    </w:rPr>
  </w:style>
  <w:style w:type="paragraph" w:styleId="Revision">
    <w:name w:val="Revision"/>
    <w:hidden/>
    <w:uiPriority w:val="99"/>
    <w:semiHidden/>
    <w:rsid w:val="009F6514"/>
  </w:style>
  <w:style w:type="character" w:styleId="Hyperlink">
    <w:name w:val="Hyperlink"/>
    <w:basedOn w:val="DefaultParagraphFont"/>
    <w:uiPriority w:val="99"/>
    <w:unhideWhenUsed/>
    <w:rsid w:val="009F6514"/>
    <w:rPr>
      <w:color w:val="0000FF"/>
      <w:u w:val="single"/>
    </w:rPr>
  </w:style>
  <w:style w:type="character" w:styleId="UnresolvedMention">
    <w:name w:val="Unresolved Mention"/>
    <w:basedOn w:val="DefaultParagraphFont"/>
    <w:uiPriority w:val="99"/>
    <w:semiHidden/>
    <w:unhideWhenUsed/>
    <w:rsid w:val="00FD4A4F"/>
    <w:rPr>
      <w:color w:val="605E5C"/>
      <w:shd w:val="clear" w:color="auto" w:fill="E1DFDD"/>
    </w:rPr>
  </w:style>
  <w:style w:type="table" w:styleId="TableGrid">
    <w:name w:val="Table Grid"/>
    <w:basedOn w:val="TableNormal"/>
    <w:uiPriority w:val="39"/>
    <w:rsid w:val="0041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5BA"/>
    <w:pPr>
      <w:tabs>
        <w:tab w:val="center" w:pos="4680"/>
        <w:tab w:val="right" w:pos="9360"/>
      </w:tabs>
    </w:pPr>
  </w:style>
  <w:style w:type="character" w:customStyle="1" w:styleId="HeaderChar">
    <w:name w:val="Header Char"/>
    <w:basedOn w:val="DefaultParagraphFont"/>
    <w:link w:val="Header"/>
    <w:uiPriority w:val="99"/>
    <w:rsid w:val="004175BA"/>
  </w:style>
  <w:style w:type="paragraph" w:styleId="Footer">
    <w:name w:val="footer"/>
    <w:basedOn w:val="Normal"/>
    <w:link w:val="FooterChar"/>
    <w:uiPriority w:val="99"/>
    <w:unhideWhenUsed/>
    <w:rsid w:val="004175BA"/>
    <w:pPr>
      <w:tabs>
        <w:tab w:val="center" w:pos="4680"/>
        <w:tab w:val="right" w:pos="9360"/>
      </w:tabs>
    </w:pPr>
  </w:style>
  <w:style w:type="character" w:customStyle="1" w:styleId="FooterChar">
    <w:name w:val="Footer Char"/>
    <w:basedOn w:val="DefaultParagraphFont"/>
    <w:link w:val="Footer"/>
    <w:uiPriority w:val="99"/>
    <w:rsid w:val="004175BA"/>
  </w:style>
  <w:style w:type="character" w:styleId="PageNumber">
    <w:name w:val="page number"/>
    <w:basedOn w:val="DefaultParagraphFont"/>
    <w:uiPriority w:val="99"/>
    <w:semiHidden/>
    <w:unhideWhenUsed/>
    <w:rsid w:val="0041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CBM.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tprojec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12tes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riterightnow.com" TargetMode="External"/><Relationship Id="rId4" Type="http://schemas.openxmlformats.org/officeDocument/2006/relationships/settings" Target="settings.xml"/><Relationship Id="rId9" Type="http://schemas.openxmlformats.org/officeDocument/2006/relationships/hyperlink" Target="https://CBMSkills.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geraldtindal/Desktop/CloudDrive/BRT_Docs/BriefingsDocs/BriefingCOE2024/SupportFiles/GrantTotalsV2025V1B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Cumulative Grants and Contracts Funding Total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cum_graph!$C$1</c:f>
              <c:strCache>
                <c:ptCount val="1"/>
                <c:pt idx="0">
                  <c:v>CumTotal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cum_graph!$B$2:$B$75</c:f>
              <c:strCache>
                <c:ptCount val="74"/>
                <c:pt idx="0">
                  <c:v>1984 – 1987</c:v>
                </c:pt>
                <c:pt idx="1">
                  <c:v>1985 – 1988</c:v>
                </c:pt>
                <c:pt idx="2">
                  <c:v>1986 – 1987</c:v>
                </c:pt>
                <c:pt idx="3">
                  <c:v>1986 – 1989</c:v>
                </c:pt>
                <c:pt idx="4">
                  <c:v>1987 – 1990</c:v>
                </c:pt>
                <c:pt idx="5">
                  <c:v>1987 – 1990</c:v>
                </c:pt>
                <c:pt idx="6">
                  <c:v>1988 – 1989</c:v>
                </c:pt>
                <c:pt idx="7">
                  <c:v>1988 – 1991</c:v>
                </c:pt>
                <c:pt idx="8">
                  <c:v>1989 – 1992</c:v>
                </c:pt>
                <c:pt idx="9">
                  <c:v>1990 – 1993</c:v>
                </c:pt>
                <c:pt idx="10">
                  <c:v>1991 – 1994</c:v>
                </c:pt>
                <c:pt idx="11">
                  <c:v>1991 – 1994</c:v>
                </c:pt>
                <c:pt idx="12">
                  <c:v>1992 – 1993</c:v>
                </c:pt>
                <c:pt idx="13">
                  <c:v>1992 – 1996</c:v>
                </c:pt>
                <c:pt idx="14">
                  <c:v>1993 – 1997</c:v>
                </c:pt>
                <c:pt idx="15">
                  <c:v>1993 – 1998</c:v>
                </c:pt>
                <c:pt idx="16">
                  <c:v>1993 – 1998</c:v>
                </c:pt>
                <c:pt idx="17">
                  <c:v>1994 – 1999</c:v>
                </c:pt>
                <c:pt idx="18">
                  <c:v>1994 – 2000</c:v>
                </c:pt>
                <c:pt idx="19">
                  <c:v>1996 – 1997</c:v>
                </c:pt>
                <c:pt idx="20">
                  <c:v>1997 – 1998</c:v>
                </c:pt>
                <c:pt idx="21">
                  <c:v>1997 – 1998</c:v>
                </c:pt>
                <c:pt idx="22">
                  <c:v>1997 – 2000</c:v>
                </c:pt>
                <c:pt idx="23">
                  <c:v>1998 – 1999</c:v>
                </c:pt>
                <c:pt idx="24">
                  <c:v>1998 – 1999</c:v>
                </c:pt>
                <c:pt idx="25">
                  <c:v>1998 – 2000</c:v>
                </c:pt>
                <c:pt idx="26">
                  <c:v>1998 – 2001</c:v>
                </c:pt>
                <c:pt idx="27">
                  <c:v>1999 – 2000</c:v>
                </c:pt>
                <c:pt idx="28">
                  <c:v>1999 – 2000</c:v>
                </c:pt>
                <c:pt idx="29">
                  <c:v>1999 – 2002</c:v>
                </c:pt>
                <c:pt idx="30">
                  <c:v>1999 – 2002</c:v>
                </c:pt>
                <c:pt idx="31">
                  <c:v>1999 – 2003</c:v>
                </c:pt>
                <c:pt idx="32">
                  <c:v>2000 – 2004</c:v>
                </c:pt>
                <c:pt idx="33">
                  <c:v>2000 – 2003</c:v>
                </c:pt>
                <c:pt idx="34">
                  <c:v>2000 – 2004</c:v>
                </c:pt>
                <c:pt idx="35">
                  <c:v>2002 – 2005</c:v>
                </c:pt>
                <c:pt idx="36">
                  <c:v>2002 – 2005</c:v>
                </c:pt>
                <c:pt idx="37">
                  <c:v>2002 – 2006</c:v>
                </c:pt>
                <c:pt idx="38">
                  <c:v>2002 – 2007</c:v>
                </c:pt>
                <c:pt idx="39">
                  <c:v>2004 – 2005</c:v>
                </c:pt>
                <c:pt idx="40">
                  <c:v>2004 – 2005</c:v>
                </c:pt>
                <c:pt idx="41">
                  <c:v>2004 – 2006</c:v>
                </c:pt>
                <c:pt idx="42">
                  <c:v>2004 – 2007</c:v>
                </c:pt>
                <c:pt idx="43">
                  <c:v>2005 – 2006</c:v>
                </c:pt>
                <c:pt idx="44">
                  <c:v>2006 – 2007</c:v>
                </c:pt>
                <c:pt idx="45">
                  <c:v>2006 – 2007</c:v>
                </c:pt>
                <c:pt idx="46">
                  <c:v>2006 – 2008</c:v>
                </c:pt>
                <c:pt idx="47">
                  <c:v>2006 – 2008</c:v>
                </c:pt>
                <c:pt idx="48">
                  <c:v>2006 – 2008</c:v>
                </c:pt>
                <c:pt idx="49">
                  <c:v>2007 – 2011</c:v>
                </c:pt>
                <c:pt idx="50">
                  <c:v>2008 – 2010</c:v>
                </c:pt>
                <c:pt idx="51">
                  <c:v>2009 – 2011</c:v>
                </c:pt>
                <c:pt idx="52">
                  <c:v>2009 – 2012</c:v>
                </c:pt>
                <c:pt idx="53">
                  <c:v>2010 – 2011</c:v>
                </c:pt>
                <c:pt idx="54">
                  <c:v>2008 – 2012</c:v>
                </c:pt>
                <c:pt idx="55">
                  <c:v>2010 – 2014</c:v>
                </c:pt>
                <c:pt idx="56">
                  <c:v>2010 – 2014</c:v>
                </c:pt>
                <c:pt idx="57">
                  <c:v>2011 – 2018</c:v>
                </c:pt>
                <c:pt idx="58">
                  <c:v>2011 – 2012</c:v>
                </c:pt>
                <c:pt idx="59">
                  <c:v>2012 – 2013</c:v>
                </c:pt>
                <c:pt idx="60">
                  <c:v>2013 – 2014</c:v>
                </c:pt>
                <c:pt idx="61">
                  <c:v>2015 – 2016</c:v>
                </c:pt>
                <c:pt idx="62">
                  <c:v>2016 – 2017</c:v>
                </c:pt>
                <c:pt idx="63">
                  <c:v>2017 – 2018</c:v>
                </c:pt>
                <c:pt idx="64">
                  <c:v>2018 – 2019</c:v>
                </c:pt>
                <c:pt idx="65">
                  <c:v>2019 – 2020</c:v>
                </c:pt>
                <c:pt idx="66">
                  <c:v>2020 – 2020</c:v>
                </c:pt>
                <c:pt idx="67">
                  <c:v>2020 – 2021</c:v>
                </c:pt>
                <c:pt idx="68">
                  <c:v>2020 – 2023</c:v>
                </c:pt>
                <c:pt idx="69">
                  <c:v>2021 – 2022</c:v>
                </c:pt>
                <c:pt idx="70">
                  <c:v>2022 – 2023</c:v>
                </c:pt>
                <c:pt idx="71">
                  <c:v>2023 – 2024</c:v>
                </c:pt>
                <c:pt idx="72">
                  <c:v>2023 – 2026</c:v>
                </c:pt>
                <c:pt idx="73">
                  <c:v>2025 – 2027</c:v>
                </c:pt>
              </c:strCache>
            </c:strRef>
          </c:cat>
          <c:val>
            <c:numRef>
              <c:f>cum_graph!$C$2:$C$75</c:f>
              <c:numCache>
                <c:formatCode>"$"#,##0_);[Red]\("$"#,##0\)</c:formatCode>
                <c:ptCount val="74"/>
                <c:pt idx="0">
                  <c:v>188646</c:v>
                </c:pt>
                <c:pt idx="1">
                  <c:v>296646</c:v>
                </c:pt>
                <c:pt idx="2">
                  <c:v>308609</c:v>
                </c:pt>
                <c:pt idx="3">
                  <c:v>577219</c:v>
                </c:pt>
                <c:pt idx="4">
                  <c:v>776359</c:v>
                </c:pt>
                <c:pt idx="5">
                  <c:v>991057</c:v>
                </c:pt>
                <c:pt idx="6">
                  <c:v>1003544</c:v>
                </c:pt>
                <c:pt idx="7">
                  <c:v>1216544</c:v>
                </c:pt>
                <c:pt idx="8">
                  <c:v>1456544</c:v>
                </c:pt>
                <c:pt idx="9">
                  <c:v>1637984</c:v>
                </c:pt>
                <c:pt idx="10">
                  <c:v>1878614</c:v>
                </c:pt>
                <c:pt idx="11">
                  <c:v>2125016</c:v>
                </c:pt>
                <c:pt idx="12">
                  <c:v>2200016</c:v>
                </c:pt>
                <c:pt idx="13">
                  <c:v>2577432</c:v>
                </c:pt>
                <c:pt idx="14">
                  <c:v>3177432</c:v>
                </c:pt>
                <c:pt idx="15">
                  <c:v>4002432</c:v>
                </c:pt>
                <c:pt idx="16">
                  <c:v>4304142</c:v>
                </c:pt>
                <c:pt idx="17">
                  <c:v>4877962</c:v>
                </c:pt>
                <c:pt idx="18">
                  <c:v>5488682</c:v>
                </c:pt>
                <c:pt idx="19">
                  <c:v>5588682</c:v>
                </c:pt>
                <c:pt idx="20">
                  <c:v>5820920</c:v>
                </c:pt>
                <c:pt idx="21">
                  <c:v>5945920</c:v>
                </c:pt>
                <c:pt idx="22">
                  <c:v>6485920</c:v>
                </c:pt>
                <c:pt idx="23">
                  <c:v>6563920</c:v>
                </c:pt>
                <c:pt idx="24">
                  <c:v>6639920</c:v>
                </c:pt>
                <c:pt idx="25">
                  <c:v>7037368</c:v>
                </c:pt>
                <c:pt idx="26">
                  <c:v>7635100</c:v>
                </c:pt>
                <c:pt idx="27">
                  <c:v>7734100</c:v>
                </c:pt>
                <c:pt idx="28">
                  <c:v>7784100</c:v>
                </c:pt>
                <c:pt idx="29">
                  <c:v>8186403</c:v>
                </c:pt>
                <c:pt idx="30">
                  <c:v>8636376</c:v>
                </c:pt>
                <c:pt idx="31">
                  <c:v>9426139</c:v>
                </c:pt>
                <c:pt idx="32">
                  <c:v>10416356</c:v>
                </c:pt>
                <c:pt idx="33">
                  <c:v>10954544</c:v>
                </c:pt>
                <c:pt idx="34">
                  <c:v>11854544</c:v>
                </c:pt>
                <c:pt idx="35">
                  <c:v>12393445</c:v>
                </c:pt>
                <c:pt idx="36">
                  <c:v>12793235</c:v>
                </c:pt>
                <c:pt idx="37">
                  <c:v>13593131</c:v>
                </c:pt>
                <c:pt idx="38">
                  <c:v>13992816</c:v>
                </c:pt>
                <c:pt idx="39">
                  <c:v>14102816</c:v>
                </c:pt>
                <c:pt idx="40">
                  <c:v>14372816</c:v>
                </c:pt>
                <c:pt idx="41">
                  <c:v>15190816</c:v>
                </c:pt>
                <c:pt idx="42">
                  <c:v>15779988</c:v>
                </c:pt>
                <c:pt idx="43">
                  <c:v>16131324</c:v>
                </c:pt>
                <c:pt idx="44">
                  <c:v>16538077</c:v>
                </c:pt>
                <c:pt idx="45">
                  <c:v>16845440</c:v>
                </c:pt>
                <c:pt idx="46">
                  <c:v>17906440</c:v>
                </c:pt>
                <c:pt idx="47">
                  <c:v>18803411</c:v>
                </c:pt>
                <c:pt idx="48">
                  <c:v>19993201</c:v>
                </c:pt>
                <c:pt idx="49">
                  <c:v>21518753</c:v>
                </c:pt>
                <c:pt idx="50">
                  <c:v>21819753</c:v>
                </c:pt>
                <c:pt idx="51">
                  <c:v>22216489</c:v>
                </c:pt>
                <c:pt idx="52">
                  <c:v>25933709</c:v>
                </c:pt>
                <c:pt idx="53">
                  <c:v>26351709</c:v>
                </c:pt>
                <c:pt idx="54">
                  <c:v>27013709</c:v>
                </c:pt>
                <c:pt idx="55">
                  <c:v>28610347</c:v>
                </c:pt>
                <c:pt idx="56">
                  <c:v>30241748</c:v>
                </c:pt>
                <c:pt idx="57">
                  <c:v>41918882</c:v>
                </c:pt>
                <c:pt idx="58">
                  <c:v>42268882</c:v>
                </c:pt>
                <c:pt idx="59">
                  <c:v>42732037</c:v>
                </c:pt>
                <c:pt idx="60">
                  <c:v>43353935</c:v>
                </c:pt>
                <c:pt idx="61">
                  <c:v>43759661</c:v>
                </c:pt>
                <c:pt idx="62">
                  <c:v>44369419</c:v>
                </c:pt>
                <c:pt idx="63">
                  <c:v>44997431</c:v>
                </c:pt>
                <c:pt idx="64">
                  <c:v>45644283</c:v>
                </c:pt>
                <c:pt idx="65">
                  <c:v>46310541</c:v>
                </c:pt>
                <c:pt idx="66">
                  <c:v>46525541</c:v>
                </c:pt>
                <c:pt idx="67">
                  <c:v>47210936</c:v>
                </c:pt>
                <c:pt idx="68">
                  <c:v>48893936</c:v>
                </c:pt>
                <c:pt idx="69">
                  <c:v>49581921</c:v>
                </c:pt>
                <c:pt idx="70">
                  <c:v>50290546</c:v>
                </c:pt>
                <c:pt idx="71">
                  <c:v>51011153</c:v>
                </c:pt>
                <c:pt idx="72">
                  <c:v>52911175</c:v>
                </c:pt>
                <c:pt idx="73">
                  <c:v>54349944</c:v>
                </c:pt>
              </c:numCache>
            </c:numRef>
          </c:val>
          <c:smooth val="0"/>
          <c:extLst>
            <c:ext xmlns:c16="http://schemas.microsoft.com/office/drawing/2014/chart" uri="{C3380CC4-5D6E-409C-BE32-E72D297353CC}">
              <c16:uniqueId val="{00000000-63A5-6C4F-B957-702708AAF0D5}"/>
            </c:ext>
          </c:extLst>
        </c:ser>
        <c:dLbls>
          <c:showLegendKey val="0"/>
          <c:showVal val="0"/>
          <c:showCatName val="0"/>
          <c:showSerName val="0"/>
          <c:showPercent val="0"/>
          <c:showBubbleSize val="0"/>
        </c:dLbls>
        <c:marker val="1"/>
        <c:smooth val="0"/>
        <c:axId val="429312880"/>
        <c:axId val="767613984"/>
      </c:lineChart>
      <c:catAx>
        <c:axId val="42931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3984"/>
        <c:crosses val="autoZero"/>
        <c:auto val="1"/>
        <c:lblAlgn val="ctr"/>
        <c:lblOffset val="100"/>
        <c:noMultiLvlLbl val="0"/>
      </c:catAx>
      <c:valAx>
        <c:axId val="767613984"/>
        <c:scaling>
          <c:orientation val="minMax"/>
          <c:min val="10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312880"/>
        <c:crosses val="autoZero"/>
        <c:crossBetween val="between"/>
        <c:minorUnit val="1000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6F2D-072A-374F-A4B4-FE9E32C2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1776</Words>
  <Characters>10572</Characters>
  <Application>Microsoft Office Word</Application>
  <DocSecurity>0</DocSecurity>
  <Lines>234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Tindal</dc:creator>
  <cp:keywords/>
  <dc:description/>
  <cp:lastModifiedBy>Gerald Tindal</cp:lastModifiedBy>
  <cp:revision>9</cp:revision>
  <cp:lastPrinted>2026-01-03T20:24:00Z</cp:lastPrinted>
  <dcterms:created xsi:type="dcterms:W3CDTF">2026-01-11T15:46:00Z</dcterms:created>
  <dcterms:modified xsi:type="dcterms:W3CDTF">2026-01-13T15:56:00Z</dcterms:modified>
</cp:coreProperties>
</file>